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C8B7" w14:textId="1D60AE9D" w:rsidR="00B22D93" w:rsidRPr="003E6881" w:rsidRDefault="00B22D93" w:rsidP="00B22D93">
      <w:pPr>
        <w:widowControl w:val="0"/>
        <w:pBdr>
          <w:top w:val="single" w:sz="4" w:space="1" w:color="auto"/>
          <w:left w:val="single" w:sz="4" w:space="4" w:color="auto"/>
          <w:bottom w:val="single" w:sz="4" w:space="8" w:color="auto"/>
          <w:right w:val="single" w:sz="4" w:space="4" w:color="auto"/>
        </w:pBdr>
        <w:spacing w:before="120" w:after="120" w:line="320" w:lineRule="exact"/>
        <w:jc w:val="both"/>
        <w:rPr>
          <w:rStyle w:val="TestocommentoCarattere"/>
          <w:rFonts w:ascii="Arial" w:hAnsi="Arial" w:cs="Arial"/>
          <w:b/>
          <w:i/>
        </w:rPr>
      </w:pPr>
      <w:bookmarkStart w:id="0" w:name="_Hlk200020745"/>
      <w:bookmarkStart w:id="1" w:name="_Hlk193725309"/>
      <w:bookmarkStart w:id="2" w:name="_Hlk175653498"/>
      <w:r w:rsidRPr="00AA36E3">
        <w:rPr>
          <w:rFonts w:ascii="Arial" w:hAnsi="Arial" w:cs="Arial"/>
          <w:b/>
          <w:bCs/>
          <w:sz w:val="20"/>
          <w:szCs w:val="20"/>
        </w:rPr>
        <w:t xml:space="preserve">Procedura </w:t>
      </w:r>
      <w:r w:rsidRPr="003E6881">
        <w:rPr>
          <w:rFonts w:ascii="Arial" w:hAnsi="Arial" w:cs="Arial"/>
          <w:b/>
          <w:bCs/>
          <w:sz w:val="20"/>
          <w:szCs w:val="20"/>
        </w:rPr>
        <w:t xml:space="preserve">aperta </w:t>
      </w:r>
      <w:r w:rsidRPr="003E6881">
        <w:rPr>
          <w:rStyle w:val="TestocommentoCarattere"/>
          <w:rFonts w:ascii="Arial" w:hAnsi="Arial" w:cs="Arial"/>
          <w:b/>
        </w:rPr>
        <w:t xml:space="preserve">per </w:t>
      </w:r>
      <w:r w:rsidRPr="003E6881">
        <w:rPr>
          <w:rStyle w:val="TestocommentoCarattere"/>
          <w:rFonts w:ascii="Arial" w:hAnsi="Arial" w:cs="Arial"/>
          <w:b/>
          <w:i/>
        </w:rPr>
        <w:t xml:space="preserve">l’esecuzione dei lavori di riqualificazione e copertura campo sportivo polivalente, nel comune di Montresta. </w:t>
      </w:r>
      <w:r w:rsidRPr="00F83065">
        <w:rPr>
          <w:rStyle w:val="TestocommentoCarattere"/>
          <w:rFonts w:ascii="Arial" w:hAnsi="Arial" w:cs="Arial"/>
          <w:b/>
        </w:rPr>
        <w:t>CUP</w:t>
      </w:r>
      <w:bookmarkEnd w:id="0"/>
      <w:bookmarkEnd w:id="1"/>
      <w:r w:rsidR="00F83065" w:rsidRPr="00F83065">
        <w:rPr>
          <w:rStyle w:val="TestocommentoCarattere"/>
        </w:rPr>
        <w:t xml:space="preserve"> </w:t>
      </w:r>
      <w:bookmarkStart w:id="3" w:name="_GoBack"/>
      <w:r w:rsidR="00F83065" w:rsidRPr="00F83065">
        <w:rPr>
          <w:rStyle w:val="TestocommentoCarattere"/>
          <w:rFonts w:ascii="Arial" w:hAnsi="Arial" w:cs="Arial"/>
          <w:b/>
        </w:rPr>
        <w:t>J35B24002540006</w:t>
      </w:r>
      <w:r w:rsidRPr="008206B6">
        <w:rPr>
          <w:rStyle w:val="TestocommentoCarattere"/>
          <w:rFonts w:ascii="Arial" w:hAnsi="Arial" w:cs="Arial"/>
          <w:b/>
        </w:rPr>
        <w:t xml:space="preserve">- CIG </w:t>
      </w:r>
      <w:r w:rsidR="008206B6" w:rsidRPr="008206B6">
        <w:rPr>
          <w:rStyle w:val="TestocommentoCarattere"/>
          <w:rFonts w:ascii="Arial" w:hAnsi="Arial" w:cs="Arial"/>
          <w:b/>
        </w:rPr>
        <w:t>B96135EBD2</w:t>
      </w:r>
      <w:bookmarkEnd w:id="3"/>
    </w:p>
    <w:bookmarkEnd w:id="2"/>
    <w:p w14:paraId="53FDB6A6" w14:textId="1ED59D03" w:rsidR="00C41162" w:rsidRDefault="00184306" w:rsidP="00D77CAE">
      <w:pPr>
        <w:pStyle w:val="Titolo1"/>
        <w:jc w:val="center"/>
      </w:pPr>
      <w:r w:rsidRPr="006533B7">
        <w:t>Allegato A - Domanda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10C04136"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w:t>
      </w:r>
      <w:r w:rsidR="00812FA7">
        <w:rPr>
          <w:rFonts w:eastAsia="Calibri" w:cs="Courier New"/>
          <w:sz w:val="20"/>
          <w:szCs w:val="20"/>
          <w:lang w:eastAsia="it-IT"/>
        </w:rPr>
        <w:t>lavori/</w:t>
      </w:r>
      <w:r w:rsidRPr="006533B7">
        <w:rPr>
          <w:rFonts w:eastAsia="Calibri" w:cs="Courier New"/>
          <w:sz w:val="20"/>
          <w:szCs w:val="20"/>
          <w:lang w:eastAsia="it-IT"/>
        </w:rPr>
        <w:t>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1D2C3D4" w:rsidR="00C41162" w:rsidRPr="006533B7" w:rsidRDefault="00812FA7"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00184306"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lastRenderedPageBreak/>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334B5CF3"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i lavori</w:t>
      </w:r>
      <w:r w:rsidR="00812FA7">
        <w:rPr>
          <w:rFonts w:eastAsia="Calibri" w:cs="Courier New"/>
          <w:sz w:val="20"/>
          <w:szCs w:val="20"/>
          <w:lang w:eastAsia="it-IT"/>
        </w:rPr>
        <w:t>/servizio/fornitura</w:t>
      </w:r>
      <w:r w:rsidR="00B22D93">
        <w:rPr>
          <w:rFonts w:eastAsia="Calibri" w:cs="Courier New"/>
          <w:sz w:val="20"/>
          <w:szCs w:val="20"/>
          <w:lang w:eastAsia="it-IT"/>
        </w:rPr>
        <w:t xml:space="preserve">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8EF74A4" w:rsidR="00C41162" w:rsidRPr="006533B7" w:rsidRDefault="00812FA7">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29BD59A7"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 xml:space="preserve">i </w:t>
      </w:r>
      <w:r w:rsidR="00C03293">
        <w:rPr>
          <w:rFonts w:eastAsia="Calibri" w:cs="Courier New"/>
          <w:sz w:val="20"/>
          <w:szCs w:val="20"/>
          <w:lang w:eastAsia="it-IT"/>
        </w:rPr>
        <w:t>lavori/servizio/fornitura</w:t>
      </w:r>
      <w:r w:rsidR="00C03293" w:rsidRPr="006533B7">
        <w:rPr>
          <w:rFonts w:eastAsia="Calibri" w:cs="Courier New"/>
          <w:sz w:val="20"/>
          <w:szCs w:val="20"/>
          <w:lang w:eastAsia="it-IT"/>
        </w:rPr>
        <w:t xml:space="preserve"> </w:t>
      </w:r>
      <w:r w:rsidR="00E15135" w:rsidRPr="006533B7">
        <w:rPr>
          <w:rFonts w:eastAsia="Calibri" w:cs="Courier New"/>
          <w:sz w:val="20"/>
          <w:szCs w:val="20"/>
          <w:lang w:eastAsia="it-IT"/>
        </w:rPr>
        <w:t>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03293" w:rsidRPr="006533B7" w14:paraId="1D904EEA" w14:textId="77777777" w:rsidTr="007C6925">
        <w:tc>
          <w:tcPr>
            <w:tcW w:w="3374" w:type="dxa"/>
            <w:shd w:val="clear" w:color="auto" w:fill="4472C4" w:themeFill="accent5"/>
          </w:tcPr>
          <w:p w14:paraId="66342A8A" w14:textId="101DD5EA"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03293" w:rsidRPr="006533B7" w14:paraId="02F1E1AB" w14:textId="77777777" w:rsidTr="007C6925">
        <w:tc>
          <w:tcPr>
            <w:tcW w:w="3374" w:type="dxa"/>
          </w:tcPr>
          <w:p w14:paraId="4430210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056EED7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0B98E0B9"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69D4DA2F" w14:textId="77777777" w:rsidTr="007C6925">
        <w:tc>
          <w:tcPr>
            <w:tcW w:w="3374" w:type="dxa"/>
          </w:tcPr>
          <w:p w14:paraId="146B030A"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686046A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5083C2CC"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1EE4BA28" w14:textId="77777777" w:rsidTr="007C6925">
        <w:tc>
          <w:tcPr>
            <w:tcW w:w="3374" w:type="dxa"/>
          </w:tcPr>
          <w:p w14:paraId="25C3214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49DF8ED5"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20776184"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0C767BFE" w14:textId="77777777" w:rsidTr="007C6925">
        <w:tc>
          <w:tcPr>
            <w:tcW w:w="3374" w:type="dxa"/>
          </w:tcPr>
          <w:p w14:paraId="47C642A8"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1BF814BB"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173FFA6A" w14:textId="77777777" w:rsidR="00C03293" w:rsidRPr="006533B7" w:rsidRDefault="00C03293" w:rsidP="00C03293">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08A1F4C5" w:rsidR="00C41162" w:rsidRDefault="00C41162">
      <w:pPr>
        <w:pStyle w:val="Paragrafoelenco"/>
        <w:jc w:val="both"/>
        <w:rPr>
          <w:b/>
          <w:sz w:val="20"/>
          <w:szCs w:val="20"/>
        </w:rPr>
      </w:pPr>
    </w:p>
    <w:p w14:paraId="4837D8B2" w14:textId="77777777" w:rsidR="00B22D93" w:rsidRPr="00DB78F3" w:rsidRDefault="00B22D9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lastRenderedPageBreak/>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75D80DF9" w14:textId="77777777" w:rsidR="00D42456"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delle condizioni contrattuali e degli oneri compresi quelli eventuali relativi in materia di sicurezza, di assicurazione, di condizioni di lavoro e di previdenza e assistenza in vigore nel luogo dove devono essere svolti i lavori;</w:t>
      </w:r>
    </w:p>
    <w:p w14:paraId="249CAB52" w14:textId="713A0C9B" w:rsidR="00C41162"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di tutte le circostanze generali, particolari e locali, nessuna esclusa ed eccettuata, che possono avere influito o influire sia sulle forniture dei materiali e/o sulle prestazioni, sia sulla determinazione della propria offerta.</w:t>
      </w:r>
    </w:p>
    <w:p w14:paraId="1F64B7A9" w14:textId="2E9C12C7" w:rsidR="00BB07BE" w:rsidRPr="00735674" w:rsidRDefault="00FA4C47" w:rsidP="00BB07BE">
      <w:pPr>
        <w:ind w:left="142" w:hanging="142"/>
        <w:jc w:val="both"/>
        <w:rPr>
          <w:rFonts w:cstheme="minorHAnsi"/>
          <w:sz w:val="20"/>
          <w:szCs w:val="20"/>
        </w:rPr>
      </w:pPr>
      <w:r w:rsidRPr="00735674">
        <w:rPr>
          <w:rFonts w:cstheme="minorHAnsi"/>
          <w:sz w:val="20"/>
          <w:szCs w:val="20"/>
        </w:rPr>
        <w:t>▪</w:t>
      </w:r>
      <w:r w:rsidR="00184306" w:rsidRPr="00735674">
        <w:rPr>
          <w:rFonts w:cstheme="minorHAnsi"/>
          <w:sz w:val="20"/>
          <w:szCs w:val="20"/>
        </w:rPr>
        <w:t xml:space="preserve"> </w:t>
      </w:r>
      <w:r w:rsidR="00BF1D89" w:rsidRPr="00735674">
        <w:rPr>
          <w:rFonts w:cstheme="minorHAnsi"/>
          <w:sz w:val="20"/>
          <w:szCs w:val="20"/>
        </w:rPr>
        <w:tab/>
      </w:r>
      <w:r w:rsidR="00184306" w:rsidRPr="00735674">
        <w:rPr>
          <w:rFonts w:cstheme="minorHAnsi"/>
          <w:sz w:val="20"/>
          <w:szCs w:val="20"/>
        </w:rPr>
        <w:t>d</w:t>
      </w:r>
      <w:r w:rsidR="00BB07BE" w:rsidRPr="00735674">
        <w:rPr>
          <w:rFonts w:cstheme="minorHAnsi"/>
          <w:sz w:val="20"/>
          <w:szCs w:val="20"/>
        </w:rPr>
        <w:t xml:space="preserve">i accettare il patto di integrità adottato dalla Giunta regionale con Deliberazione n. 30/16 del 16.06.2015, (art. 1, comma 17, della l. 6 novembre 2012 n. 190), accessibile al seguente link: </w:t>
      </w:r>
      <w:hyperlink r:id="rId8" w:tgtFrame="_blank" w:history="1">
        <w:r w:rsidR="00BB07BE" w:rsidRPr="00735674">
          <w:rPr>
            <w:rStyle w:val="Collegamentoipertestuale"/>
            <w:rFonts w:cstheme="minorHAnsi"/>
            <w:sz w:val="20"/>
            <w:szCs w:val="20"/>
          </w:rPr>
          <w:t>https://www.sardegnacat.it/esop/ita-ras-host/public/web/servizi_imprese/registrazione.jst</w:t>
        </w:r>
      </w:hyperlink>
      <w:r w:rsidR="00BB07BE" w:rsidRPr="00735674">
        <w:rPr>
          <w:rFonts w:cstheme="minorHAnsi"/>
          <w:sz w:val="20"/>
          <w:szCs w:val="20"/>
        </w:rPr>
        <w:t> </w:t>
      </w:r>
    </w:p>
    <w:p w14:paraId="774240A8" w14:textId="77777777" w:rsidR="009178BA" w:rsidRPr="00FA6FE2" w:rsidRDefault="00184306" w:rsidP="009178BA">
      <w:pPr>
        <w:ind w:left="284" w:hanging="284"/>
        <w:jc w:val="both"/>
        <w:rPr>
          <w:sz w:val="20"/>
          <w:szCs w:val="20"/>
        </w:rPr>
      </w:pPr>
      <w:r w:rsidRPr="006533B7">
        <w:rPr>
          <w:sz w:val="20"/>
          <w:szCs w:val="20"/>
        </w:rPr>
        <w:t xml:space="preserve">▪ </w:t>
      </w:r>
      <w:r w:rsidR="00BF1D89" w:rsidRPr="006533B7">
        <w:rPr>
          <w:sz w:val="20"/>
          <w:szCs w:val="20"/>
        </w:rPr>
        <w:tab/>
      </w:r>
      <w:r w:rsidR="009178BA" w:rsidRPr="00FA6FE2">
        <w:rPr>
          <w:sz w:val="20"/>
          <w:szCs w:val="20"/>
        </w:rPr>
        <w:t xml:space="preserve">di essere edotto degli obblighi derivanti dal Decreto del Presidente della Repubblica 16 aprile 2013 n. 62, dal Codice di comportamento del personale del Sistema Regione e delle società partecipate della Regione Autonoma della Sardegna, allegato alla Deliberazione G.R. n. 43/7 del 29.10.2021 e previsto nel “Piano integrato di attività e organizzazione (PIAO) Art. 6, decreto-legge 9 giugno 2021, n. 80, come convertito dalla legge 6 agosto 2021, n. 113 e </w:t>
      </w:r>
      <w:proofErr w:type="spellStart"/>
      <w:r w:rsidR="009178BA" w:rsidRPr="00FA6FE2">
        <w:rPr>
          <w:sz w:val="20"/>
          <w:szCs w:val="20"/>
        </w:rPr>
        <w:t>s.m.i.</w:t>
      </w:r>
      <w:proofErr w:type="spellEnd"/>
      <w:r w:rsidR="009178BA" w:rsidRPr="00FA6FE2">
        <w:rPr>
          <w:sz w:val="20"/>
          <w:szCs w:val="20"/>
        </w:rPr>
        <w:t xml:space="preserve"> Aggiornamento per il triennio 2023 – 2025”, approvato con D.G.R. n. 12/4 del 30.03.2023, scaricabile al link </w:t>
      </w:r>
      <w:hyperlink r:id="rId9" w:history="1">
        <w:r w:rsidR="009178BA" w:rsidRPr="00BD7953">
          <w:rPr>
            <w:rStyle w:val="Collegamentoipertestuale"/>
            <w:sz w:val="20"/>
            <w:szCs w:val="20"/>
          </w:rPr>
          <w:t>https://delibere.regione.sardegna.it/it/homepage.page?frame19_item=2&amp;facetNode_1=date_2023_03_30&amp;selectedNode=date_2023_03_30</w:t>
        </w:r>
      </w:hyperlink>
      <w:r w:rsidR="009178BA">
        <w:rPr>
          <w:sz w:val="20"/>
          <w:szCs w:val="20"/>
        </w:rPr>
        <w:t xml:space="preserve"> </w:t>
      </w:r>
      <w:r w:rsidR="009178BA" w:rsidRPr="00FA6FE2">
        <w:rPr>
          <w:sz w:val="20"/>
          <w:szCs w:val="20"/>
        </w:rPr>
        <w:t xml:space="preserve"> e di impegnarsi, in caso di aggiudicazione, ad osservare e a far osservare ai propri dipendenti e collaboratori, per quanto applicabile, il suddetto codice, pena la risoluzione del contratto;</w:t>
      </w:r>
    </w:p>
    <w:p w14:paraId="41876E54" w14:textId="07057410" w:rsidR="000D2BAA" w:rsidRDefault="00184306" w:rsidP="009178BA">
      <w:pPr>
        <w:ind w:left="142" w:hanging="142"/>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6F59DB" w:rsidRDefault="00F75A6B" w:rsidP="00FA4C47">
      <w:pPr>
        <w:pStyle w:val="Paragrafoelenco"/>
        <w:numPr>
          <w:ilvl w:val="0"/>
          <w:numId w:val="2"/>
        </w:numPr>
        <w:ind w:left="426"/>
        <w:jc w:val="both"/>
        <w:rPr>
          <w:rFonts w:cstheme="minorHAnsi"/>
          <w:sz w:val="20"/>
          <w:szCs w:val="20"/>
        </w:rPr>
      </w:pPr>
      <w:r w:rsidRPr="006F59DB">
        <w:rPr>
          <w:rFonts w:cstheme="minorHAnsi"/>
          <w:sz w:val="20"/>
          <w:szCs w:val="20"/>
        </w:rPr>
        <w:t>(</w:t>
      </w:r>
      <w:r w:rsidR="00320515" w:rsidRPr="006F59DB">
        <w:rPr>
          <w:rFonts w:cstheme="minorHAnsi"/>
          <w:i/>
          <w:sz w:val="20"/>
          <w:szCs w:val="20"/>
        </w:rPr>
        <w:t>Eventuale, nel caso i</w:t>
      </w:r>
      <w:r w:rsidR="00E917A1" w:rsidRPr="006F59DB">
        <w:rPr>
          <w:rFonts w:cstheme="minorHAnsi"/>
          <w:i/>
          <w:sz w:val="20"/>
          <w:szCs w:val="20"/>
        </w:rPr>
        <w:t>n cui sia previsto</w:t>
      </w:r>
      <w:r w:rsidR="0017440B" w:rsidRPr="006F59DB">
        <w:rPr>
          <w:rFonts w:cstheme="minorHAnsi"/>
          <w:i/>
          <w:sz w:val="20"/>
          <w:szCs w:val="20"/>
        </w:rPr>
        <w:t xml:space="preserve"> in gara</w:t>
      </w:r>
      <w:r w:rsidR="00E917A1" w:rsidRPr="006F59DB">
        <w:rPr>
          <w:rFonts w:cstheme="minorHAnsi"/>
          <w:i/>
          <w:sz w:val="20"/>
          <w:szCs w:val="20"/>
        </w:rPr>
        <w:t xml:space="preserve"> l’accordo di collaborazione</w:t>
      </w:r>
      <w:r w:rsidRPr="006F59DB">
        <w:rPr>
          <w:rFonts w:cstheme="minorHAnsi"/>
          <w:sz w:val="20"/>
          <w:szCs w:val="20"/>
        </w:rPr>
        <w:t>)</w:t>
      </w:r>
      <w:r w:rsidR="00320515" w:rsidRPr="006F59DB">
        <w:rPr>
          <w:rFonts w:cstheme="minorHAnsi"/>
          <w:sz w:val="20"/>
          <w:szCs w:val="20"/>
        </w:rPr>
        <w:t xml:space="preserve"> </w:t>
      </w:r>
      <w:r w:rsidR="00E917A1" w:rsidRPr="006F59DB">
        <w:rPr>
          <w:rFonts w:cstheme="minorHAnsi"/>
          <w:sz w:val="20"/>
          <w:szCs w:val="20"/>
        </w:rPr>
        <w:t>ad accettare, nel caso di aggiudicazione, l’accordo di collaborazione di cui all’allegato</w:t>
      </w:r>
      <w:r w:rsidR="00FA4C47" w:rsidRPr="006F59DB">
        <w:rPr>
          <w:rFonts w:cstheme="minorHAnsi"/>
          <w:sz w:val="20"/>
          <w:szCs w:val="20"/>
        </w:rPr>
        <w:t xml:space="preserve"> … </w:t>
      </w:r>
      <w:r w:rsidR="00E917A1" w:rsidRPr="006F59DB">
        <w:rPr>
          <w:rFonts w:cstheme="minorHAnsi"/>
          <w:sz w:val="20"/>
          <w:szCs w:val="20"/>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9178BA" w:rsidRDefault="00184306" w:rsidP="00BF1D89">
      <w:pPr>
        <w:jc w:val="both"/>
        <w:rPr>
          <w:bCs/>
          <w:sz w:val="20"/>
          <w:szCs w:val="20"/>
        </w:rPr>
      </w:pPr>
      <w:r w:rsidRPr="009178BA">
        <w:rPr>
          <w:bCs/>
          <w:i/>
          <w:sz w:val="20"/>
          <w:szCs w:val="20"/>
        </w:rPr>
        <w:t>(Non applicabile ai servizi di natura intellettuale e alle forniture senza posa in opera)</w:t>
      </w:r>
      <w:r w:rsidRPr="009178BA">
        <w:rPr>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0D3272E4" w:rsidR="00DD605C" w:rsidRDefault="00DD605C" w:rsidP="00DD605C">
      <w:pPr>
        <w:pStyle w:val="Paragrafoelenco"/>
        <w:tabs>
          <w:tab w:val="left" w:pos="142"/>
        </w:tabs>
        <w:ind w:left="0"/>
        <w:jc w:val="both"/>
        <w:rPr>
          <w:sz w:val="20"/>
          <w:szCs w:val="20"/>
        </w:rPr>
      </w:pPr>
    </w:p>
    <w:p w14:paraId="636E59E9" w14:textId="1B7C2B9E" w:rsidR="00D42456" w:rsidRDefault="00D42456" w:rsidP="00DD605C">
      <w:pPr>
        <w:pStyle w:val="Paragrafoelenco"/>
        <w:tabs>
          <w:tab w:val="left" w:pos="142"/>
        </w:tabs>
        <w:ind w:left="0"/>
        <w:jc w:val="both"/>
        <w:rPr>
          <w:sz w:val="20"/>
          <w:szCs w:val="20"/>
        </w:rPr>
      </w:pPr>
    </w:p>
    <w:p w14:paraId="05A21C6D" w14:textId="77777777" w:rsidR="00D42456" w:rsidRPr="00DD605C" w:rsidRDefault="00D42456" w:rsidP="00DD605C">
      <w:pPr>
        <w:pStyle w:val="Paragrafoelenco"/>
        <w:tabs>
          <w:tab w:val="left" w:pos="142"/>
        </w:tabs>
        <w:ind w:left="0"/>
        <w:jc w:val="both"/>
        <w:rPr>
          <w:sz w:val="20"/>
          <w:szCs w:val="20"/>
        </w:rPr>
      </w:pPr>
    </w:p>
    <w:p w14:paraId="7EAEE973" w14:textId="5CFCDE13" w:rsidR="00194B76" w:rsidRPr="006533B7" w:rsidRDefault="00194B76" w:rsidP="00194B76">
      <w:pPr>
        <w:jc w:val="both"/>
        <w:rPr>
          <w:b/>
          <w:i/>
          <w:sz w:val="20"/>
          <w:szCs w:val="20"/>
        </w:rPr>
      </w:pPr>
      <w:r w:rsidRPr="006533B7">
        <w:rPr>
          <w:b/>
          <w:i/>
          <w:sz w:val="20"/>
          <w:szCs w:val="20"/>
        </w:rPr>
        <w:lastRenderedPageBreak/>
        <w:t>Per le procedure di gara</w:t>
      </w:r>
      <w:r>
        <w:rPr>
          <w:b/>
          <w:i/>
          <w:sz w:val="20"/>
          <w:szCs w:val="20"/>
        </w:rPr>
        <w:t xml:space="preserve">, </w:t>
      </w:r>
      <w:r w:rsidR="00131882" w:rsidRPr="00131882">
        <w:rPr>
          <w:rFonts w:eastAsia="Calibri" w:cstheme="minorHAnsi"/>
          <w:b/>
          <w:i/>
          <w:sz w:val="20"/>
          <w:szCs w:val="20"/>
        </w:rPr>
        <w:t>ai sensi dell’art. 1, comma 4, dell’allegato II.3 del Codice in combinato disposto con l’art. 57, comma 2-bis del Codice</w:t>
      </w:r>
      <w:r w:rsidRPr="00131882">
        <w:rPr>
          <w:rFonts w:cstheme="minorHAnsi"/>
          <w:b/>
          <w:i/>
          <w:sz w:val="20"/>
          <w:szCs w:val="20"/>
        </w:rPr>
        <w:t>, i</w:t>
      </w:r>
      <w:r w:rsidRPr="006533B7">
        <w:rPr>
          <w:b/>
          <w:i/>
          <w:sz w:val="20"/>
          <w:szCs w:val="20"/>
        </w:rPr>
        <w:t>ndicare le seguenti condizioni di esecuzione</w:t>
      </w:r>
      <w:r w:rsidRPr="00DE3700">
        <w:rPr>
          <w:b/>
          <w:i/>
          <w:sz w:val="20"/>
          <w:szCs w:val="20"/>
        </w:rPr>
        <w:t>, anche ai sensi dell’art. 102 del Codice:</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49112CBB" w:rsidR="00C41162" w:rsidRPr="00F83065" w:rsidRDefault="00184306" w:rsidP="00BF1D89">
      <w:pPr>
        <w:ind w:left="284" w:hanging="284"/>
        <w:jc w:val="both"/>
        <w:rPr>
          <w:sz w:val="20"/>
          <w:szCs w:val="20"/>
        </w:rPr>
      </w:pPr>
      <w:r w:rsidRPr="006533B7">
        <w:rPr>
          <w:i/>
          <w:sz w:val="20"/>
          <w:szCs w:val="20"/>
        </w:rPr>
        <w:t>-</w:t>
      </w:r>
      <w:r w:rsidRPr="006533B7">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Pr="00F83065">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F83065" w:rsidRDefault="00184306" w:rsidP="00BF1D89">
      <w:pPr>
        <w:jc w:val="both"/>
        <w:rPr>
          <w:i/>
          <w:sz w:val="20"/>
          <w:szCs w:val="20"/>
        </w:rPr>
      </w:pPr>
      <w:r w:rsidRPr="00F83065">
        <w:rPr>
          <w:i/>
          <w:sz w:val="20"/>
          <w:szCs w:val="20"/>
        </w:rPr>
        <w:t>in aggiunta, nel caso in cui non abbia provveduto alla trasmissione del rapporto nei termini indicati dall'articolo 46 del decreto legislativo n. 198/2006,</w:t>
      </w:r>
    </w:p>
    <w:p w14:paraId="0EADAD06" w14:textId="62118F25" w:rsidR="00C41162" w:rsidRPr="006533B7" w:rsidRDefault="00184306" w:rsidP="00BF1D89">
      <w:pPr>
        <w:ind w:left="284" w:hanging="284"/>
        <w:jc w:val="both"/>
        <w:rPr>
          <w:i/>
          <w:sz w:val="20"/>
          <w:szCs w:val="20"/>
        </w:rPr>
      </w:pPr>
      <w:r w:rsidRPr="00F83065">
        <w:rPr>
          <w:i/>
          <w:sz w:val="20"/>
          <w:szCs w:val="20"/>
        </w:rPr>
        <w:t>-</w:t>
      </w:r>
      <w:r w:rsidRPr="00F83065">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00F83065" w:rsidRPr="00F83065">
        <w:rPr>
          <w:sz w:val="20"/>
          <w:szCs w:val="20"/>
        </w:rPr>
        <w:t xml:space="preserve"> </w:t>
      </w:r>
      <w:r w:rsidRPr="00F83065">
        <w:rPr>
          <w:sz w:val="20"/>
          <w:szCs w:val="20"/>
        </w:rPr>
        <w:t>l’attestazione dell’avvenuta trasmissione</w:t>
      </w:r>
      <w:r w:rsidR="004A78FB" w:rsidRPr="00F83065">
        <w:rPr>
          <w:sz w:val="20"/>
          <w:szCs w:val="20"/>
        </w:rPr>
        <w:t xml:space="preserve"> contestuale</w:t>
      </w:r>
      <w:r w:rsidRPr="00F83065">
        <w:rPr>
          <w:sz w:val="20"/>
          <w:szCs w:val="20"/>
        </w:rPr>
        <w:t xml:space="preserve"> alle rappresentanze sindacali aziendali e alla consigliera e al consigliere</w:t>
      </w:r>
      <w:r w:rsidRPr="006533B7">
        <w:rPr>
          <w:sz w:val="20"/>
          <w:szCs w:val="20"/>
        </w:rPr>
        <w:t xml:space="preserv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2C367F8E"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3791C254" w14:textId="77777777" w:rsidR="00006C7E" w:rsidRPr="0010688A" w:rsidRDefault="00006C7E" w:rsidP="00006C7E">
      <w:pPr>
        <w:spacing w:line="276" w:lineRule="auto"/>
        <w:rPr>
          <w:rFonts w:eastAsia="Tahoma" w:cstheme="minorHAnsi"/>
          <w:color w:val="000000"/>
          <w:sz w:val="20"/>
          <w:szCs w:val="20"/>
          <w:highlight w:val="white"/>
        </w:rPr>
      </w:pPr>
      <w:r w:rsidRPr="0010688A">
        <w:rPr>
          <w:rFonts w:eastAsia="Tahoma" w:cstheme="minorHAnsi"/>
          <w:b/>
          <w:i/>
          <w:color w:val="000000"/>
          <w:sz w:val="20"/>
          <w:szCs w:val="20"/>
          <w:shd w:val="clear" w:color="auto" w:fill="FFFFFF"/>
        </w:rPr>
        <w:t xml:space="preserve">Clausola </w:t>
      </w:r>
      <w:r w:rsidRPr="0010688A">
        <w:rPr>
          <w:rFonts w:eastAsia="Tahoma" w:cstheme="minorHAnsi"/>
          <w:b/>
          <w:i/>
          <w:color w:val="00000A"/>
          <w:sz w:val="20"/>
          <w:szCs w:val="20"/>
          <w:shd w:val="clear" w:color="auto" w:fill="FFFFFF"/>
        </w:rPr>
        <w:t>sociale</w:t>
      </w:r>
      <w:r w:rsidRPr="0010688A">
        <w:rPr>
          <w:rFonts w:eastAsia="Tahoma" w:cstheme="minorHAnsi"/>
          <w:b/>
          <w:i/>
          <w:color w:val="000000"/>
          <w:sz w:val="20"/>
          <w:szCs w:val="20"/>
          <w:shd w:val="clear" w:color="auto" w:fill="FFFFFF"/>
        </w:rPr>
        <w:t xml:space="preserve"> di pari opportunità generazionale e di genere</w:t>
      </w:r>
    </w:p>
    <w:p w14:paraId="6DD8D479" w14:textId="69841622" w:rsidR="00006C7E" w:rsidRDefault="00006C7E" w:rsidP="006250E9">
      <w:pPr>
        <w:ind w:left="284" w:hanging="284"/>
        <w:jc w:val="both"/>
        <w:rPr>
          <w:b/>
          <w:color w:val="7030A0"/>
          <w:sz w:val="20"/>
          <w:szCs w:val="20"/>
        </w:rPr>
      </w:pPr>
      <w:r w:rsidRPr="00F83065">
        <w:rPr>
          <w:b/>
          <w:color w:val="7030A0"/>
          <w:sz w:val="20"/>
          <w:szCs w:val="20"/>
        </w:rPr>
        <w:t>▪</w:t>
      </w:r>
      <w:r w:rsidR="00645C4D" w:rsidRPr="00645C4D">
        <w:rPr>
          <w:b/>
          <w:sz w:val="20"/>
          <w:szCs w:val="20"/>
        </w:rPr>
        <w:t xml:space="preserve"> </w:t>
      </w:r>
      <w:r w:rsidR="00645C4D" w:rsidRPr="00E602E3">
        <w:rPr>
          <w:b/>
          <w:sz w:val="20"/>
          <w:szCs w:val="20"/>
        </w:rPr>
        <w:t>DICHIARA</w:t>
      </w:r>
      <w:r w:rsidR="00645C4D" w:rsidRPr="00E602E3">
        <w:rPr>
          <w:sz w:val="20"/>
          <w:szCs w:val="20"/>
        </w:rPr>
        <w:t xml:space="preserve"> di </w:t>
      </w:r>
      <w:r w:rsidRPr="00167B86">
        <w:rPr>
          <w:sz w:val="20"/>
          <w:szCs w:val="20"/>
        </w:rPr>
        <w:t xml:space="preserve">assumersi l’obbligo, in caso di aggiudicazione del contratto, di assicurare all’occupazione giovanile una quota di 30% </w:t>
      </w:r>
      <w:r w:rsidRPr="00167B86">
        <w:rPr>
          <w:i/>
          <w:iCs/>
          <w:sz w:val="20"/>
          <w:szCs w:val="20"/>
        </w:rPr>
        <w:t>[indicare la quota pari o superiore al 30% indicata al punto 9 del Disciplinare]</w:t>
      </w:r>
      <w:r w:rsidRPr="00167B86">
        <w:rPr>
          <w:sz w:val="20"/>
          <w:szCs w:val="20"/>
        </w:rPr>
        <w:t xml:space="preserve"> e a quella femminile una quota di 10 % </w:t>
      </w:r>
      <w:r w:rsidRPr="00167B86">
        <w:rPr>
          <w:i/>
          <w:iCs/>
          <w:sz w:val="20"/>
          <w:szCs w:val="20"/>
        </w:rPr>
        <w:t>[indicare la quota pari o superiore al 10% indicata al punto 9 del Disciplinare]</w:t>
      </w:r>
      <w:r w:rsidRPr="00167B86">
        <w:rPr>
          <w:sz w:val="20"/>
          <w:szCs w:val="20"/>
        </w:rPr>
        <w:t xml:space="preserve"> delle assunzioni necessarie per l'esecuzione del contratto o per la realizzazione di attività ad esso connesse o strumentali;</w:t>
      </w:r>
    </w:p>
    <w:p w14:paraId="22087E83" w14:textId="39DE6303" w:rsidR="0045644F" w:rsidRDefault="0045644F" w:rsidP="00F35A22">
      <w:pPr>
        <w:ind w:left="284" w:hanging="284"/>
        <w:jc w:val="both"/>
        <w:rPr>
          <w:rFonts w:ascii="Calibri Light" w:eastAsia="MS Mincho" w:hAnsi="Calibri Light" w:cs="Calibri Light"/>
          <w:b/>
          <w:i/>
          <w:iCs/>
        </w:rPr>
      </w:pPr>
    </w:p>
    <w:p w14:paraId="23894C66" w14:textId="77777777" w:rsidR="00D333FD" w:rsidRDefault="00D333FD" w:rsidP="00F35A22">
      <w:pPr>
        <w:ind w:left="284" w:hanging="284"/>
        <w:jc w:val="both"/>
        <w:rPr>
          <w:rFonts w:ascii="Calibri Light" w:eastAsia="MS Mincho" w:hAnsi="Calibri Light" w:cs="Calibri Light"/>
          <w:b/>
          <w:i/>
          <w:iCs/>
        </w:rPr>
      </w:pPr>
    </w:p>
    <w:p w14:paraId="04F20DD7" w14:textId="00B89A8A" w:rsidR="00C41162" w:rsidRPr="006533B7" w:rsidRDefault="0045644F" w:rsidP="00F35A22">
      <w:pPr>
        <w:ind w:left="284" w:hanging="284"/>
        <w:jc w:val="both"/>
        <w:rPr>
          <w:b/>
          <w:bCs/>
          <w:color w:val="4472C4" w:themeColor="accent5"/>
          <w:sz w:val="20"/>
          <w:szCs w:val="20"/>
        </w:rPr>
      </w:pPr>
      <w:r w:rsidRPr="0045644F">
        <w:rPr>
          <w:rFonts w:ascii="Calibri Light" w:eastAsia="MS Mincho" w:hAnsi="Calibri Light" w:cs="Calibri Light"/>
          <w:b/>
          <w:i/>
          <w:iCs/>
          <w:color w:val="0070C0"/>
        </w:rPr>
        <w:lastRenderedPageBreak/>
        <w:t>9</w:t>
      </w:r>
      <w:proofErr w:type="gramStart"/>
      <w:r>
        <w:rPr>
          <w:rFonts w:ascii="Calibri Light" w:eastAsia="MS Mincho" w:hAnsi="Calibri Light" w:cs="Calibri Light"/>
          <w:b/>
          <w:i/>
          <w:iCs/>
        </w:rPr>
        <w:tab/>
      </w:r>
      <w:r w:rsidR="00BF1D89" w:rsidRPr="00547C73">
        <w:rPr>
          <w:b/>
          <w:bCs/>
          <w:color w:val="4472C4" w:themeColor="accent5"/>
          <w:sz w:val="20"/>
          <w:szCs w:val="20"/>
        </w:rPr>
        <w:t xml:space="preserve">  </w:t>
      </w:r>
      <w:r w:rsidR="00184306" w:rsidRPr="006533B7">
        <w:rPr>
          <w:b/>
          <w:bCs/>
          <w:color w:val="4472C4" w:themeColor="accent5"/>
          <w:sz w:val="20"/>
          <w:szCs w:val="20"/>
        </w:rPr>
        <w:t>Assunzione</w:t>
      </w:r>
      <w:proofErr w:type="gramEnd"/>
      <w:r w:rsidR="00184306" w:rsidRPr="006533B7">
        <w:rPr>
          <w:b/>
          <w:bCs/>
          <w:color w:val="4472C4" w:themeColor="accent5"/>
          <w:sz w:val="20"/>
          <w:szCs w:val="20"/>
        </w:rPr>
        <w:t xml:space="preserv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C01BC96"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1B2AB633" w:rsidR="00625B83" w:rsidRDefault="00625B83" w:rsidP="00026CF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0CD0A31"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w:t>
      </w:r>
      <w:r w:rsidRPr="003256DF">
        <w:rPr>
          <w:bCs/>
          <w:sz w:val="20"/>
          <w:szCs w:val="20"/>
        </w:rPr>
        <w:t>Criteri Ambientali Minimi</w:t>
      </w:r>
      <w:r w:rsidR="003256DF" w:rsidRPr="003256DF">
        <w:rPr>
          <w:bCs/>
          <w:sz w:val="20"/>
          <w:szCs w:val="20"/>
        </w:rPr>
        <w:t>:</w:t>
      </w:r>
      <w:r w:rsidRPr="003256DF">
        <w:rPr>
          <w:bCs/>
          <w:sz w:val="20"/>
          <w:szCs w:val="20"/>
        </w:rPr>
        <w:t xml:space="preserve"> </w:t>
      </w:r>
      <w:r w:rsidR="003256DF" w:rsidRPr="00F25BB1">
        <w:rPr>
          <w:b/>
          <w:bCs/>
          <w:sz w:val="20"/>
          <w:szCs w:val="20"/>
        </w:rPr>
        <w:t>DM 23.06.2022 n.256</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lastRenderedPageBreak/>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00EE" w14:textId="77777777" w:rsidR="009D2B14" w:rsidRDefault="009D2B14">
      <w:pPr>
        <w:spacing w:after="0" w:line="240" w:lineRule="auto"/>
      </w:pPr>
      <w:r>
        <w:separator/>
      </w:r>
    </w:p>
  </w:endnote>
  <w:endnote w:type="continuationSeparator" w:id="0">
    <w:p w14:paraId="09FC53AC" w14:textId="77777777" w:rsidR="009D2B14" w:rsidRDefault="009D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A12B7" w14:textId="77777777" w:rsidR="009D2B14" w:rsidRDefault="009D2B14">
      <w:pPr>
        <w:rPr>
          <w:sz w:val="12"/>
        </w:rPr>
      </w:pPr>
      <w:r>
        <w:separator/>
      </w:r>
    </w:p>
  </w:footnote>
  <w:footnote w:type="continuationSeparator" w:id="0">
    <w:p w14:paraId="2100C045" w14:textId="77777777" w:rsidR="009D2B14" w:rsidRDefault="009D2B14">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6DF99D29" w:rsidR="00C41162" w:rsidRDefault="00D77CAE">
    <w:pPr>
      <w:pStyle w:val="Intestazione"/>
      <w:tabs>
        <w:tab w:val="left" w:pos="2552"/>
      </w:tabs>
    </w:pPr>
    <w:r>
      <w:rPr>
        <w:noProof/>
      </w:rPr>
      <w:drawing>
        <wp:anchor distT="0" distB="0" distL="114300" distR="114300" simplePos="0" relativeHeight="251659264" behindDoc="0" locked="0" layoutInCell="1" allowOverlap="1" wp14:anchorId="1C0F0D81" wp14:editId="2794B8BE">
          <wp:simplePos x="0" y="0"/>
          <wp:positionH relativeFrom="margin">
            <wp:align>center</wp:align>
          </wp:positionH>
          <wp:positionV relativeFrom="paragraph">
            <wp:posOffset>-118356</wp:posOffset>
          </wp:positionV>
          <wp:extent cx="1261887" cy="792000"/>
          <wp:effectExtent l="0" t="0" r="0" b="8255"/>
          <wp:wrapSquare wrapText="bothSides"/>
          <wp:docPr id="2106211037" name="Immagine 2106211037" descr="Immagine che contiene simbolo, testo, log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1037" name="Immagine 2106211037" descr="Immagine che contiene simbolo, testo, log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887" cy="792000"/>
                  </a:xfrm>
                  <a:prstGeom prst="rect">
                    <a:avLst/>
                  </a:prstGeom>
                  <a:noFill/>
                </pic:spPr>
              </pic:pic>
            </a:graphicData>
          </a:graphic>
        </wp:anchor>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p w14:paraId="78D17595" w14:textId="77777777" w:rsidR="00D77CAE" w:rsidRPr="003262BF" w:rsidRDefault="00D77CAE" w:rsidP="00D77CAE">
    <w:pPr>
      <w:pStyle w:val="DGServp1"/>
      <w:spacing w:before="100" w:beforeAutospacing="1" w:after="0"/>
      <w:rPr>
        <w:rFonts w:ascii="Arial" w:hAnsi="Arial" w:cs="Arial"/>
        <w:sz w:val="16"/>
        <w:szCs w:val="16"/>
      </w:rPr>
    </w:pPr>
    <w:r w:rsidRPr="003262BF">
      <w:rPr>
        <w:rFonts w:ascii="Arial" w:hAnsi="Arial" w:cs="Arial"/>
        <w:sz w:val="16"/>
        <w:szCs w:val="16"/>
      </w:rPr>
      <w:t>Direzione generale della Centrale Regionale di Committenza</w:t>
    </w:r>
  </w:p>
  <w:p w14:paraId="3EFC585E" w14:textId="77777777" w:rsidR="00B22D93" w:rsidRPr="00091622" w:rsidRDefault="00B22D93" w:rsidP="00B22D93">
    <w:pPr>
      <w:spacing w:after="60" w:line="200" w:lineRule="exact"/>
      <w:ind w:right="-1"/>
      <w:rPr>
        <w:rFonts w:ascii="Calibri" w:eastAsia="Calibri" w:hAnsi="Calibri" w:cs="Calibri"/>
        <w:sz w:val="16"/>
        <w:szCs w:val="16"/>
      </w:rPr>
    </w:pPr>
    <w:bookmarkStart w:id="4" w:name="_Hlk191307612"/>
    <w:r w:rsidRPr="00091622">
      <w:rPr>
        <w:rFonts w:ascii="Calibri" w:eastAsia="Calibri" w:hAnsi="Calibri" w:cs="Calibri"/>
        <w:sz w:val="16"/>
        <w:szCs w:val="16"/>
      </w:rPr>
      <w:t xml:space="preserve">Servizio </w:t>
    </w:r>
    <w:bookmarkStart w:id="5" w:name="_Hlk181963707"/>
    <w:r w:rsidRPr="00091622">
      <w:rPr>
        <w:rFonts w:ascii="Calibri" w:eastAsia="Calibri" w:hAnsi="Calibri" w:cs="Calibri"/>
        <w:sz w:val="16"/>
        <w:szCs w:val="16"/>
      </w:rPr>
      <w:t>lavori e servizi di architettura e ingegneria</w:t>
    </w:r>
    <w:bookmarkEnd w:id="5"/>
  </w:p>
  <w:bookmarkEnd w:id="4"/>
  <w:p w14:paraId="42133C4E" w14:textId="77777777" w:rsidR="00D77CAE" w:rsidRDefault="00D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D1D6211"/>
    <w:multiLevelType w:val="hybridMultilevel"/>
    <w:tmpl w:val="5E1A8404"/>
    <w:lvl w:ilvl="0" w:tplc="EF042830">
      <w:start w:val="1"/>
      <w:numFmt w:val="decimal"/>
      <w:lvlText w:val="%1)"/>
      <w:lvlJc w:val="left"/>
      <w:pPr>
        <w:ind w:left="720" w:hanging="360"/>
      </w:pPr>
      <w:rPr>
        <w:b/>
        <w:bCs/>
        <w:i w:val="0"/>
        <w:iCs w:val="0"/>
        <w:color w:val="auto"/>
      </w:rPr>
    </w:lvl>
    <w:lvl w:ilvl="1" w:tplc="53900CF0">
      <w:start w:val="1"/>
      <w:numFmt w:val="lowerLetter"/>
      <w:lvlText w:val="%2)"/>
      <w:lvlJc w:val="left"/>
      <w:pPr>
        <w:ind w:left="1155" w:hanging="75"/>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033400D"/>
    <w:multiLevelType w:val="hybridMultilevel"/>
    <w:tmpl w:val="87B4A57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498E235E">
      <w:start w:val="1"/>
      <w:numFmt w:val="lowerLetter"/>
      <w:lvlText w:val="%3)"/>
      <w:lvlJc w:val="left"/>
      <w:pPr>
        <w:ind w:left="1980" w:firstLine="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11"/>
  </w:num>
  <w:num w:numId="5">
    <w:abstractNumId w:val="2"/>
  </w:num>
  <w:num w:numId="6">
    <w:abstractNumId w:val="15"/>
  </w:num>
  <w:num w:numId="7">
    <w:abstractNumId w:val="7"/>
  </w:num>
  <w:num w:numId="8">
    <w:abstractNumId w:val="21"/>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9"/>
  </w:num>
  <w:num w:numId="18">
    <w:abstractNumId w:val="10"/>
  </w:num>
  <w:num w:numId="19">
    <w:abstractNumId w:val="20"/>
  </w:num>
  <w:num w:numId="20">
    <w:abstractNumId w:val="4"/>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06C7E"/>
    <w:rsid w:val="00016034"/>
    <w:rsid w:val="0001722B"/>
    <w:rsid w:val="000250CD"/>
    <w:rsid w:val="0002682A"/>
    <w:rsid w:val="00026CF4"/>
    <w:rsid w:val="00027DE5"/>
    <w:rsid w:val="00043A6C"/>
    <w:rsid w:val="00052DFF"/>
    <w:rsid w:val="00054595"/>
    <w:rsid w:val="00062E83"/>
    <w:rsid w:val="0007145E"/>
    <w:rsid w:val="00073E26"/>
    <w:rsid w:val="00074F3D"/>
    <w:rsid w:val="000805C3"/>
    <w:rsid w:val="00090110"/>
    <w:rsid w:val="00091622"/>
    <w:rsid w:val="00091E8A"/>
    <w:rsid w:val="00093F68"/>
    <w:rsid w:val="000978E4"/>
    <w:rsid w:val="000A1573"/>
    <w:rsid w:val="000A3886"/>
    <w:rsid w:val="000A46B8"/>
    <w:rsid w:val="000A652B"/>
    <w:rsid w:val="000A7D4D"/>
    <w:rsid w:val="000B1402"/>
    <w:rsid w:val="000B1C73"/>
    <w:rsid w:val="000B2CC0"/>
    <w:rsid w:val="000B5F09"/>
    <w:rsid w:val="000B6092"/>
    <w:rsid w:val="000C1DDB"/>
    <w:rsid w:val="000C6388"/>
    <w:rsid w:val="000D08AE"/>
    <w:rsid w:val="000D1705"/>
    <w:rsid w:val="000D2BAA"/>
    <w:rsid w:val="000D60E4"/>
    <w:rsid w:val="000E5869"/>
    <w:rsid w:val="000F77E0"/>
    <w:rsid w:val="0011020C"/>
    <w:rsid w:val="00113297"/>
    <w:rsid w:val="00121EA8"/>
    <w:rsid w:val="00122975"/>
    <w:rsid w:val="00131882"/>
    <w:rsid w:val="00132C2D"/>
    <w:rsid w:val="00140122"/>
    <w:rsid w:val="00141B8D"/>
    <w:rsid w:val="00153D4E"/>
    <w:rsid w:val="00154EC1"/>
    <w:rsid w:val="00167B86"/>
    <w:rsid w:val="001731EF"/>
    <w:rsid w:val="0017440B"/>
    <w:rsid w:val="00184306"/>
    <w:rsid w:val="001925E0"/>
    <w:rsid w:val="00194B76"/>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256DF"/>
    <w:rsid w:val="00331E92"/>
    <w:rsid w:val="00332889"/>
    <w:rsid w:val="00336832"/>
    <w:rsid w:val="00345201"/>
    <w:rsid w:val="00347DF9"/>
    <w:rsid w:val="00354FAA"/>
    <w:rsid w:val="00355A8C"/>
    <w:rsid w:val="003607A2"/>
    <w:rsid w:val="003610F4"/>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5644F"/>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65A5"/>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66D4"/>
    <w:rsid w:val="00607BC1"/>
    <w:rsid w:val="00607EB0"/>
    <w:rsid w:val="006123E0"/>
    <w:rsid w:val="0062128A"/>
    <w:rsid w:val="006250E9"/>
    <w:rsid w:val="0062593A"/>
    <w:rsid w:val="00625B83"/>
    <w:rsid w:val="0063020D"/>
    <w:rsid w:val="00633A29"/>
    <w:rsid w:val="006377D3"/>
    <w:rsid w:val="0064397E"/>
    <w:rsid w:val="00645C4D"/>
    <w:rsid w:val="00645C78"/>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E26EA"/>
    <w:rsid w:val="006F3BE9"/>
    <w:rsid w:val="006F59DB"/>
    <w:rsid w:val="006F759B"/>
    <w:rsid w:val="007077AE"/>
    <w:rsid w:val="00716CED"/>
    <w:rsid w:val="00717105"/>
    <w:rsid w:val="007208FF"/>
    <w:rsid w:val="007227AC"/>
    <w:rsid w:val="00725DDA"/>
    <w:rsid w:val="00735674"/>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2FA7"/>
    <w:rsid w:val="00814FC2"/>
    <w:rsid w:val="00815E1B"/>
    <w:rsid w:val="008174BB"/>
    <w:rsid w:val="008206B6"/>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178BA"/>
    <w:rsid w:val="00921426"/>
    <w:rsid w:val="00940410"/>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D2B14"/>
    <w:rsid w:val="009E04C3"/>
    <w:rsid w:val="009E0CC3"/>
    <w:rsid w:val="009E0FD3"/>
    <w:rsid w:val="009E2EF2"/>
    <w:rsid w:val="009E46B4"/>
    <w:rsid w:val="009E4BA8"/>
    <w:rsid w:val="009F3C44"/>
    <w:rsid w:val="00A06E35"/>
    <w:rsid w:val="00A12EB7"/>
    <w:rsid w:val="00A13F1D"/>
    <w:rsid w:val="00A24E8B"/>
    <w:rsid w:val="00A33A49"/>
    <w:rsid w:val="00A33AE5"/>
    <w:rsid w:val="00A50B54"/>
    <w:rsid w:val="00A718A5"/>
    <w:rsid w:val="00A73FAC"/>
    <w:rsid w:val="00A740E5"/>
    <w:rsid w:val="00A87214"/>
    <w:rsid w:val="00A96B55"/>
    <w:rsid w:val="00AA1FD2"/>
    <w:rsid w:val="00AA3F10"/>
    <w:rsid w:val="00AA4C35"/>
    <w:rsid w:val="00AB0FA5"/>
    <w:rsid w:val="00AB6450"/>
    <w:rsid w:val="00AC0E67"/>
    <w:rsid w:val="00AC45DE"/>
    <w:rsid w:val="00AF6E49"/>
    <w:rsid w:val="00AF71F2"/>
    <w:rsid w:val="00B0135C"/>
    <w:rsid w:val="00B01E52"/>
    <w:rsid w:val="00B05099"/>
    <w:rsid w:val="00B14EBC"/>
    <w:rsid w:val="00B22D93"/>
    <w:rsid w:val="00B314E5"/>
    <w:rsid w:val="00B43B34"/>
    <w:rsid w:val="00B46559"/>
    <w:rsid w:val="00B505FA"/>
    <w:rsid w:val="00B5162B"/>
    <w:rsid w:val="00B51CCB"/>
    <w:rsid w:val="00B7690A"/>
    <w:rsid w:val="00B81A6F"/>
    <w:rsid w:val="00B91564"/>
    <w:rsid w:val="00BA2A87"/>
    <w:rsid w:val="00BA5AB9"/>
    <w:rsid w:val="00BB07BE"/>
    <w:rsid w:val="00BC0216"/>
    <w:rsid w:val="00BD0680"/>
    <w:rsid w:val="00BD1EA5"/>
    <w:rsid w:val="00BD4CD2"/>
    <w:rsid w:val="00BE0E56"/>
    <w:rsid w:val="00BF1D89"/>
    <w:rsid w:val="00BF40A0"/>
    <w:rsid w:val="00BF4C0F"/>
    <w:rsid w:val="00C03293"/>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53DE"/>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333FD"/>
    <w:rsid w:val="00D42456"/>
    <w:rsid w:val="00D45998"/>
    <w:rsid w:val="00D61A10"/>
    <w:rsid w:val="00D64A32"/>
    <w:rsid w:val="00D730DC"/>
    <w:rsid w:val="00D778F8"/>
    <w:rsid w:val="00D77CAE"/>
    <w:rsid w:val="00D8470A"/>
    <w:rsid w:val="00D8512F"/>
    <w:rsid w:val="00DA0111"/>
    <w:rsid w:val="00DA22BB"/>
    <w:rsid w:val="00DB2AD0"/>
    <w:rsid w:val="00DB3922"/>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43102"/>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D2680"/>
    <w:rsid w:val="00EE4127"/>
    <w:rsid w:val="00F05ACD"/>
    <w:rsid w:val="00F11A2B"/>
    <w:rsid w:val="00F21D50"/>
    <w:rsid w:val="00F2220F"/>
    <w:rsid w:val="00F25BB1"/>
    <w:rsid w:val="00F27E15"/>
    <w:rsid w:val="00F338A3"/>
    <w:rsid w:val="00F3468F"/>
    <w:rsid w:val="00F35A22"/>
    <w:rsid w:val="00F35EAB"/>
    <w:rsid w:val="00F5043F"/>
    <w:rsid w:val="00F51DAD"/>
    <w:rsid w:val="00F571CE"/>
    <w:rsid w:val="00F610F6"/>
    <w:rsid w:val="00F6717C"/>
    <w:rsid w:val="00F75A6B"/>
    <w:rsid w:val="00F77256"/>
    <w:rsid w:val="00F83065"/>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titolo 2,Elenco num ARGEA,puntato,TESTO,Elenco1,texte tableau,Elenco2,Bullet edison,Paragrafo elenco 2,Bullet List,FooterText,numbered,Paragraphe de liste1,Bulletr List Paragraph,列出段落,列出段落1,List Paragraph21,Listeafsnit1,List Paragraph1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DGServp1">
    <w:name w:val="DG_Serv p1"/>
    <w:basedOn w:val="Normale"/>
    <w:link w:val="DGServp1Carattere"/>
    <w:qFormat/>
    <w:rsid w:val="00D77CAE"/>
    <w:pPr>
      <w:suppressAutoHyphens w:val="0"/>
      <w:spacing w:after="60" w:line="200" w:lineRule="exact"/>
    </w:pPr>
    <w:rPr>
      <w:rFonts w:ascii="Futura Std Book" w:eastAsia="Times New Roman" w:hAnsi="Futura Std Book" w:cs="Times New Roman"/>
      <w:sz w:val="18"/>
      <w:szCs w:val="24"/>
      <w:lang w:eastAsia="it-IT"/>
    </w:rPr>
  </w:style>
  <w:style w:type="character" w:customStyle="1" w:styleId="DGServp1Carattere">
    <w:name w:val="DG_Serv p1 Carattere"/>
    <w:link w:val="DGServp1"/>
    <w:locked/>
    <w:rsid w:val="00D77CAE"/>
    <w:rPr>
      <w:rFonts w:ascii="Futura Std Book" w:eastAsia="Times New Roman" w:hAnsi="Futura Std Book" w:cs="Times New Roman"/>
      <w:sz w:val="18"/>
      <w:szCs w:val="24"/>
      <w:lang w:eastAsia="it-IT"/>
    </w:rPr>
  </w:style>
  <w:style w:type="character" w:customStyle="1" w:styleId="ParagrafoelencoCarattere">
    <w:name w:val="Paragrafo elenco Carattere"/>
    <w:aliases w:val="titolo 2 Carattere,Elenco num ARGEA Carattere,puntato Carattere,TESTO Carattere,Elenco1 Carattere,texte tableau Carattere,Elenco2 Carattere,Bullet edison Carattere,Paragrafo elenco 2 Carattere,Bullet List Carattere"/>
    <w:link w:val="Paragrafoelenco"/>
    <w:uiPriority w:val="34"/>
    <w:qFormat/>
    <w:locked/>
    <w:rsid w:val="00BB07BE"/>
  </w:style>
  <w:style w:type="character" w:styleId="Collegamentoipertestuale">
    <w:name w:val="Hyperlink"/>
    <w:basedOn w:val="Carpredefinitoparagrafo"/>
    <w:uiPriority w:val="99"/>
    <w:rsid w:val="00BB07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rdegnacat.it/esop/ita-ras-host/public/web/servizi_imprese/registrazione.j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libere.regione.sardegna.it/it/homepage.page?frame19_item=2&amp;facetNode_1=date_2023_03_30&amp;selectedNode=date_2023_03_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64D1-9787-4BE3-92DF-3009DC07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3494</Words>
  <Characters>25717</Characters>
  <Application>Microsoft Office Word</Application>
  <DocSecurity>0</DocSecurity>
  <Lines>829</Lines>
  <Paragraphs>286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Roberto Belfiori</cp:lastModifiedBy>
  <cp:revision>29</cp:revision>
  <cp:lastPrinted>2023-12-13T08:59:00Z</cp:lastPrinted>
  <dcterms:created xsi:type="dcterms:W3CDTF">2025-11-12T14:26:00Z</dcterms:created>
  <dcterms:modified xsi:type="dcterms:W3CDTF">2025-12-03T07:43:00Z</dcterms:modified>
  <dc:language>it-IT</dc:language>
</cp:coreProperties>
</file>