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08D70" w14:textId="77777777" w:rsidR="00351E24" w:rsidRDefault="002F77B7">
      <w:pPr>
        <w:pStyle w:val="Default"/>
        <w:spacing w:line="360" w:lineRule="auto"/>
        <w:jc w:val="both"/>
        <w:rPr>
          <w:b/>
          <w:sz w:val="20"/>
          <w:szCs w:val="20"/>
        </w:rPr>
      </w:pPr>
      <w:r>
        <w:rPr>
          <w:b/>
          <w:sz w:val="20"/>
          <w:szCs w:val="20"/>
        </w:rPr>
        <w:t>Oggetto: Avviso pubblico "ConSenso", per la presentazione di proposte progettuali finalizzate alla realizzazione di percorsi laboratoriali a valenza teatrale volti a promuovere la responsabilizzazione e la consapevolezza delle persone detenute negli istituti penitenziari del territorio regionale e dei relativi allegati- la L.R. 6 febbraio 2026, n. 2 "Bilancio di previsione triennale 2026-2028" Allegato 2 - DEL6-13. Capitolo SC08.8142. FAQ</w:t>
      </w:r>
    </w:p>
    <w:p w14:paraId="37FECCC4" w14:textId="77777777" w:rsidR="00351E24" w:rsidRDefault="002F77B7">
      <w:pPr>
        <w:spacing w:before="120" w:after="160" w:line="256" w:lineRule="auto"/>
      </w:pPr>
      <w:r>
        <w:rPr>
          <w:rFonts w:ascii="Arial" w:hAnsi="Arial"/>
          <w:b/>
        </w:rPr>
        <w:t>Quesiti relativi alla stima dell’impegno delle figure professionali e alla calendarizzazione delle attività</w:t>
      </w:r>
    </w:p>
    <w:p w14:paraId="45025531" w14:textId="2D97FEF3" w:rsidR="00351E24" w:rsidRPr="00052138" w:rsidRDefault="002F77B7" w:rsidP="00052138">
      <w:pPr>
        <w:pStyle w:val="Paragrafoelenco"/>
        <w:numPr>
          <w:ilvl w:val="0"/>
          <w:numId w:val="39"/>
        </w:numPr>
        <w:spacing w:before="100" w:after="60" w:line="256" w:lineRule="auto"/>
        <w:jc w:val="both"/>
        <w:rPr>
          <w:rFonts w:ascii="Arial" w:hAnsi="Arial"/>
          <w:b/>
        </w:rPr>
      </w:pPr>
      <w:r w:rsidRPr="00052138">
        <w:rPr>
          <w:rFonts w:ascii="Arial" w:hAnsi="Arial"/>
          <w:b/>
        </w:rPr>
        <w:t>In sede di presentazione della proposta progettuale è sufficiente indicare, per ciascuna figura professionale, un monte ore o un numero complessivo di giornate stimato per ciascun percorso, senza definire una distribuzione analitica dell’impegno su base mensile?</w:t>
      </w:r>
    </w:p>
    <w:p w14:paraId="145575E1" w14:textId="77777777" w:rsidR="00052138" w:rsidRDefault="00052138" w:rsidP="00052138">
      <w:pPr>
        <w:pStyle w:val="Paragrafoelenco"/>
        <w:spacing w:before="100" w:after="60" w:line="256" w:lineRule="auto"/>
        <w:jc w:val="both"/>
      </w:pPr>
    </w:p>
    <w:p w14:paraId="01F182FE" w14:textId="40428B2C" w:rsidR="00052138" w:rsidRDefault="002F77B7">
      <w:pPr>
        <w:spacing w:after="160" w:line="256" w:lineRule="auto"/>
        <w:jc w:val="both"/>
        <w:rPr>
          <w:rFonts w:ascii="Arial" w:hAnsi="Arial"/>
        </w:rPr>
      </w:pPr>
      <w:r>
        <w:rPr>
          <w:rFonts w:ascii="Arial" w:hAnsi="Arial"/>
        </w:rPr>
        <w:t>L’Avviso non prescrive una distribuzione analitica su base mensile dell’impegno di ciascuna figura professionale. Resta fermo quanto previsto dagli artt. 5, 6 e 7: la proposta deve descrivere in modo chiaro, coerente e verificabile l’impianto dell’intervento, l’assetto operativo, le risorse umane impiegate, i relativi ruoli e responsabilità, nonché rappresentare i costi del personale, intesi come onnicomprensivi, nella Scheda costi progetto. L’indicazione delle ore o delle giornate</w:t>
      </w:r>
      <w:r w:rsidR="009C3B8B">
        <w:rPr>
          <w:rFonts w:ascii="Arial" w:hAnsi="Arial"/>
        </w:rPr>
        <w:t>, come richieste nell’</w:t>
      </w:r>
      <w:r w:rsidR="009C3B8B" w:rsidRPr="009C3B8B">
        <w:rPr>
          <w:rFonts w:ascii="Arial" w:hAnsi="Arial"/>
          <w:i/>
          <w:iCs/>
        </w:rPr>
        <w:t>Allegato 2 Scheda costi progetto</w:t>
      </w:r>
      <w:r w:rsidR="009C3B8B">
        <w:rPr>
          <w:rFonts w:ascii="Arial" w:hAnsi="Arial"/>
          <w:i/>
          <w:iCs/>
        </w:rPr>
        <w:t>,</w:t>
      </w:r>
      <w:r>
        <w:rPr>
          <w:rFonts w:ascii="Arial" w:hAnsi="Arial"/>
        </w:rPr>
        <w:t xml:space="preserve"> deve pertanto essere formulata con un livello di dettaglio idoneo a rendere comprensibile il collegamento tra attività, tempi, professionalità impiegate e costi </w:t>
      </w:r>
      <w:r w:rsidR="009C3B8B">
        <w:rPr>
          <w:rFonts w:ascii="Arial" w:hAnsi="Arial"/>
        </w:rPr>
        <w:t>previsti</w:t>
      </w:r>
      <w:r>
        <w:rPr>
          <w:rFonts w:ascii="Arial" w:hAnsi="Arial"/>
        </w:rPr>
        <w:t xml:space="preserve">. </w:t>
      </w:r>
    </w:p>
    <w:p w14:paraId="4434454B" w14:textId="6BA84B72" w:rsidR="00351E24" w:rsidRPr="00052138" w:rsidRDefault="002F77B7" w:rsidP="00052138">
      <w:pPr>
        <w:pStyle w:val="Paragrafoelenco"/>
        <w:numPr>
          <w:ilvl w:val="0"/>
          <w:numId w:val="39"/>
        </w:numPr>
        <w:spacing w:after="160" w:line="256" w:lineRule="auto"/>
        <w:jc w:val="both"/>
        <w:rPr>
          <w:rFonts w:ascii="Arial" w:hAnsi="Arial"/>
          <w:b/>
        </w:rPr>
      </w:pPr>
      <w:r w:rsidRPr="00052138">
        <w:rPr>
          <w:rFonts w:ascii="Arial" w:hAnsi="Arial"/>
          <w:b/>
        </w:rPr>
        <w:t>La quantificazione dell’impegno delle singole professionalità può essere effettuata sulla base di una stima progettuale complessiva, individuando il numero di ore o giornate ritenuto necessario anche in relazione alle risorse economiche disponibili per ciascun percorso?</w:t>
      </w:r>
    </w:p>
    <w:p w14:paraId="24531D39" w14:textId="531FBA4B" w:rsidR="00351E24" w:rsidRPr="006B2957" w:rsidRDefault="002F77B7">
      <w:pPr>
        <w:spacing w:after="160" w:line="256" w:lineRule="auto"/>
        <w:jc w:val="both"/>
        <w:rPr>
          <w:rFonts w:ascii="Arial" w:hAnsi="Arial"/>
        </w:rPr>
      </w:pPr>
      <w:r>
        <w:rPr>
          <w:rFonts w:ascii="Arial" w:hAnsi="Arial"/>
        </w:rPr>
        <w:t>La determinazione dell’impegno delle professionalità rientra nella predisposizione della proposta progettuale da parte del soggetto proponente.</w:t>
      </w:r>
      <w:r w:rsidR="006B2957">
        <w:rPr>
          <w:rFonts w:ascii="Arial" w:hAnsi="Arial"/>
        </w:rPr>
        <w:t xml:space="preserve"> </w:t>
      </w:r>
      <w:r w:rsidR="006B2957" w:rsidRPr="006B2957">
        <w:rPr>
          <w:rFonts w:ascii="Arial" w:hAnsi="Arial"/>
        </w:rPr>
        <w:t>Ai sensi dell’art. 7, gli importi indicati nella tabella delle spese ammissibili, compresi quelli riferiti alle figure professionali, hanno carattere indicativo e possono essere diversamente articolati, purché tale diversa articolazione sia adeguatamente motivata, coerente con gli obiettivi e con le attività del progetto e rispetti l’importo complessivo massimo finanziabile</w:t>
      </w:r>
      <w:r>
        <w:rPr>
          <w:rFonts w:ascii="Arial" w:hAnsi="Arial"/>
        </w:rPr>
        <w:t xml:space="preserve">. </w:t>
      </w:r>
      <w:r w:rsidR="006B2957" w:rsidRPr="006B2957">
        <w:rPr>
          <w:rFonts w:ascii="Arial" w:hAnsi="Arial"/>
        </w:rPr>
        <w:t>Resta pertanto rimessa al soggetto proponente la formulazione della stima progettuale, nel rispetto delle disposizioni dell’Avviso</w:t>
      </w:r>
      <w:r w:rsidR="006B2957">
        <w:rPr>
          <w:rFonts w:ascii="Arial" w:hAnsi="Arial"/>
        </w:rPr>
        <w:t xml:space="preserve">. </w:t>
      </w:r>
      <w:r w:rsidR="006B2957" w:rsidRPr="006B2957">
        <w:rPr>
          <w:rFonts w:ascii="Arial" w:hAnsi="Arial"/>
        </w:rPr>
        <w:t>Si evidenzia, inoltre, che il medesimo articolo non individua alcuna specifica assegnazione economica riferita a ciascun percorso</w:t>
      </w:r>
      <w:r w:rsidR="00695DFE">
        <w:rPr>
          <w:rFonts w:ascii="Arial" w:hAnsi="Arial"/>
        </w:rPr>
        <w:t>.</w:t>
      </w:r>
      <w:r w:rsidR="00BC618F">
        <w:rPr>
          <w:rFonts w:ascii="Arial" w:hAnsi="Arial"/>
        </w:rPr>
        <w:t xml:space="preserve"> </w:t>
      </w:r>
    </w:p>
    <w:p w14:paraId="2992D444" w14:textId="2BB45122" w:rsidR="00695DFE" w:rsidRPr="00052138" w:rsidRDefault="002F77B7" w:rsidP="00052138">
      <w:pPr>
        <w:pStyle w:val="Paragrafoelenco"/>
        <w:numPr>
          <w:ilvl w:val="0"/>
          <w:numId w:val="39"/>
        </w:numPr>
        <w:spacing w:before="100" w:after="60" w:line="256" w:lineRule="auto"/>
        <w:jc w:val="both"/>
        <w:rPr>
          <w:rFonts w:ascii="Arial" w:hAnsi="Arial"/>
          <w:b/>
        </w:rPr>
      </w:pPr>
      <w:r w:rsidRPr="00052138">
        <w:rPr>
          <w:rFonts w:ascii="Arial" w:hAnsi="Arial"/>
          <w:b/>
        </w:rPr>
        <w:t xml:space="preserve">È possibile </w:t>
      </w:r>
      <w:r w:rsidR="00695DFE" w:rsidRPr="00052138">
        <w:rPr>
          <w:rFonts w:ascii="Arial" w:hAnsi="Arial"/>
          <w:b/>
        </w:rPr>
        <w:t xml:space="preserve">prevedere una calendarizzazione non necessariamente intensiva e modulabile nel corso dei </w:t>
      </w:r>
      <w:r w:rsidR="006B2957" w:rsidRPr="00052138">
        <w:rPr>
          <w:rFonts w:ascii="Arial" w:hAnsi="Arial"/>
          <w:b/>
        </w:rPr>
        <w:t>cinque</w:t>
      </w:r>
      <w:r w:rsidR="00695DFE" w:rsidRPr="00052138">
        <w:rPr>
          <w:rFonts w:ascii="Arial" w:hAnsi="Arial"/>
          <w:b/>
        </w:rPr>
        <w:t xml:space="preserve"> mesi, concentrando le attività professionali nei momenti effettivamente necessari alla realizzazione del percorso (attività propedeutiche, fasi laboratoriali ed esito finale), in modo da garantire la qualità dell’intervento e, al contempo, la sostenibilità economica della proposta e un adeguato rapporto tra impegno professionale, attività previste e budget disponibile</w:t>
      </w:r>
      <w:r w:rsidR="006B2957" w:rsidRPr="00052138">
        <w:rPr>
          <w:rFonts w:ascii="Arial" w:hAnsi="Arial"/>
          <w:b/>
        </w:rPr>
        <w:t>?</w:t>
      </w:r>
    </w:p>
    <w:p w14:paraId="119B40C5" w14:textId="77777777" w:rsidR="00695DFE" w:rsidRDefault="00695DFE">
      <w:pPr>
        <w:spacing w:before="100" w:after="60" w:line="256" w:lineRule="auto"/>
        <w:jc w:val="both"/>
        <w:rPr>
          <w:rFonts w:ascii="Arial" w:hAnsi="Arial"/>
          <w:b/>
        </w:rPr>
      </w:pPr>
    </w:p>
    <w:p w14:paraId="203F4A01" w14:textId="77777777" w:rsidR="00351E24" w:rsidRDefault="002F77B7">
      <w:pPr>
        <w:spacing w:after="160" w:line="256" w:lineRule="auto"/>
        <w:jc w:val="both"/>
      </w:pPr>
      <w:r>
        <w:rPr>
          <w:rFonts w:ascii="Arial" w:hAnsi="Arial"/>
        </w:rPr>
        <w:t>Come previsto dall’art. 1, ciascun percorso ha una durata media di cinque mesi, comprensiva delle attività propedeutiche di raccordo, dello svolgimento del laboratorio e della realizzazione dell’esito scenico finale; i sei percorsi devono svolgersi nell’arco di 36 mesi senza concomitanze. Il medesimo articolo stabilisce che ciascun percorso è svolto in base alle esigenze organizzative dell’Istituto penitenziario interessato e che le tempistiche sono concordate con l’Istituto e coordinate con le altre attività dei destinatari. L’Avviso non stabilisce una cadenza necessariamente uniforme o intensiva dell’impiego delle singole professionalità. La proposta deve comunque indicare una scansione temporale chiara e coerente con le attività descritte, con la durata e con le condizioni poste dall’Avviso.</w:t>
      </w:r>
    </w:p>
    <w:p w14:paraId="62D053F0" w14:textId="77777777" w:rsidR="00351E24" w:rsidRPr="00052138" w:rsidRDefault="002F77B7">
      <w:pPr>
        <w:pStyle w:val="Corpotesto"/>
        <w:spacing w:before="120" w:after="0"/>
        <w:ind w:left="5670"/>
        <w:jc w:val="center"/>
        <w:rPr>
          <w:rFonts w:ascii="Arial" w:hAnsi="Arial" w:cs="Arial"/>
        </w:rPr>
      </w:pPr>
      <w:r w:rsidRPr="00052138">
        <w:rPr>
          <w:rFonts w:ascii="Arial" w:hAnsi="Arial" w:cs="Arial"/>
        </w:rPr>
        <w:lastRenderedPageBreak/>
        <w:t xml:space="preserve">Il Direttore del Servizio </w:t>
      </w:r>
    </w:p>
    <w:p w14:paraId="6D30FBFF" w14:textId="77777777" w:rsidR="00351E24" w:rsidRDefault="002F77B7">
      <w:pPr>
        <w:pStyle w:val="Standard"/>
        <w:spacing w:line="360" w:lineRule="auto"/>
        <w:ind w:left="6480" w:firstLine="720"/>
      </w:pPr>
      <w:r w:rsidRPr="00052138">
        <w:rPr>
          <w:rFonts w:ascii="Arial" w:hAnsi="Arial" w:cs="Arial"/>
        </w:rPr>
        <w:t>Nicola Onan</w:t>
      </w:r>
      <w:r>
        <w:rPr>
          <w:rFonts w:ascii="Arial" w:hAnsi="Arial" w:cs="Arial"/>
        </w:rPr>
        <w:t>o</w:t>
      </w:r>
    </w:p>
    <w:sectPr w:rsidR="00351E24">
      <w:footerReference w:type="default" r:id="rId7"/>
      <w:headerReference w:type="first" r:id="rId8"/>
      <w:footerReference w:type="first" r:id="rId9"/>
      <w:pgSz w:w="11906" w:h="16838"/>
      <w:pgMar w:top="851" w:right="851" w:bottom="720" w:left="851" w:header="720" w:footer="13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8CBEA" w14:textId="77777777" w:rsidR="00557879" w:rsidRDefault="00557879">
      <w:r>
        <w:separator/>
      </w:r>
    </w:p>
  </w:endnote>
  <w:endnote w:type="continuationSeparator" w:id="0">
    <w:p w14:paraId="1E31F15D" w14:textId="77777777" w:rsidR="00557879" w:rsidRDefault="00557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F">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Std Book">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FDD5" w14:textId="77777777" w:rsidR="002F77B7" w:rsidRDefault="002F77B7">
    <w:pPr>
      <w:pStyle w:val="Pidipagina"/>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A7B0" w14:textId="77777777" w:rsidR="002F77B7" w:rsidRDefault="002F77B7">
    <w:pPr>
      <w:pStyle w:val="Standard"/>
      <w:jc w:val="center"/>
      <w:rPr>
        <w:rFonts w:ascii="Arial" w:hAnsi="Arial" w:cs="Arial"/>
      </w:rPr>
    </w:pPr>
  </w:p>
  <w:p w14:paraId="42D5B5F2" w14:textId="77777777" w:rsidR="002F77B7" w:rsidRDefault="002F77B7">
    <w:pPr>
      <w:pStyle w:val="Standard"/>
      <w:jc w:val="center"/>
      <w:rPr>
        <w:rFonts w:ascii="Arial" w:hAnsi="Arial" w:cs="Arial"/>
      </w:rPr>
    </w:pPr>
  </w:p>
  <w:p w14:paraId="1BB1E8CC" w14:textId="77777777" w:rsidR="002F77B7" w:rsidRDefault="002F77B7">
    <w:pPr>
      <w:pStyle w:val="Standard"/>
      <w:jc w:val="center"/>
      <w:rPr>
        <w:rFonts w:ascii="Arial" w:hAnsi="Arial" w:cs="Arial"/>
      </w:rPr>
    </w:pPr>
  </w:p>
  <w:p w14:paraId="133C9275" w14:textId="77777777" w:rsidR="002F77B7" w:rsidRDefault="002F77B7">
    <w:pPr>
      <w:pStyle w:val="Standard"/>
      <w:jc w:val="center"/>
      <w:rPr>
        <w:rFonts w:ascii="Arial" w:hAnsi="Arial" w:cs="Arial"/>
      </w:rPr>
    </w:pPr>
  </w:p>
  <w:p w14:paraId="15CB5CC3" w14:textId="77777777" w:rsidR="002F77B7" w:rsidRDefault="002F77B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D8820" w14:textId="77777777" w:rsidR="00557879" w:rsidRDefault="00557879">
      <w:r>
        <w:rPr>
          <w:color w:val="000000"/>
        </w:rPr>
        <w:separator/>
      </w:r>
    </w:p>
  </w:footnote>
  <w:footnote w:type="continuationSeparator" w:id="0">
    <w:p w14:paraId="22614743" w14:textId="77777777" w:rsidR="00557879" w:rsidRDefault="00557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1E41" w14:textId="77777777" w:rsidR="002F77B7" w:rsidRDefault="002F77B7">
    <w:pPr>
      <w:pStyle w:val="Intestazione"/>
      <w:jc w:val="center"/>
    </w:pPr>
    <w:r>
      <w:rPr>
        <w:noProof/>
        <w:lang w:eastAsia="it-IT"/>
      </w:rPr>
      <w:drawing>
        <wp:inline distT="0" distB="0" distL="0" distR="0" wp14:anchorId="6E51EF24" wp14:editId="58502DCA">
          <wp:extent cx="1828800" cy="1009799"/>
          <wp:effectExtent l="0" t="0" r="0" b="0"/>
          <wp:docPr id="1683012856"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l="10221" r="10614"/>
                  <a:stretch>
                    <a:fillRect/>
                  </a:stretch>
                </pic:blipFill>
                <pic:spPr>
                  <a:xfrm>
                    <a:off x="0" y="0"/>
                    <a:ext cx="1828800" cy="1009799"/>
                  </a:xfrm>
                  <a:prstGeom prst="rect">
                    <a:avLst/>
                  </a:prstGeom>
                  <a:noFill/>
                  <a:ln>
                    <a:noFill/>
                    <a:prstDash/>
                  </a:ln>
                </pic:spPr>
              </pic:pic>
            </a:graphicData>
          </a:graphic>
        </wp:inline>
      </w:drawing>
    </w:r>
  </w:p>
  <w:p w14:paraId="3BC35C56" w14:textId="77777777" w:rsidR="002F77B7" w:rsidRDefault="002F77B7">
    <w:pPr>
      <w:pStyle w:val="Intestazione"/>
      <w:jc w:val="center"/>
    </w:pPr>
    <w:r>
      <w:rPr>
        <w:rFonts w:ascii="Arial" w:hAnsi="Arial" w:cs="Arial"/>
        <w:b/>
        <w:sz w:val="16"/>
        <w:szCs w:val="16"/>
      </w:rPr>
      <w:t>ASSESSORADU DE S'IGIENE E SANIDADE E DE S'ASSISTÈNTZIA SOTZIALE</w:t>
    </w:r>
  </w:p>
  <w:p w14:paraId="50BA15F9" w14:textId="77777777" w:rsidR="002F77B7" w:rsidRDefault="002F77B7">
    <w:pPr>
      <w:pStyle w:val="Intestazione"/>
      <w:jc w:val="center"/>
    </w:pPr>
    <w:r>
      <w:rPr>
        <w:rFonts w:ascii="Arial" w:hAnsi="Arial" w:cs="Arial"/>
        <w:b/>
        <w:sz w:val="16"/>
        <w:szCs w:val="16"/>
      </w:rPr>
      <w:t>ASSESSORATO DELL’IGIENE, SANITA’ E DELL’ASSISTENZA SOCIALE</w:t>
    </w:r>
  </w:p>
  <w:p w14:paraId="0DE9DD48" w14:textId="77777777" w:rsidR="002F77B7" w:rsidRDefault="002F77B7">
    <w:pPr>
      <w:pStyle w:val="Intestazione"/>
      <w:rPr>
        <w:rFonts w:ascii="Arial" w:hAnsi="Arial" w:cs="Arial"/>
        <w:b/>
        <w:sz w:val="16"/>
        <w:szCs w:val="16"/>
      </w:rPr>
    </w:pPr>
  </w:p>
  <w:p w14:paraId="5FDAD53E" w14:textId="77777777" w:rsidR="002F77B7" w:rsidRDefault="002F77B7">
    <w:pPr>
      <w:pStyle w:val="Intestazione"/>
    </w:pPr>
    <w:r>
      <w:rPr>
        <w:rFonts w:ascii="Arial" w:hAnsi="Arial" w:cs="Arial"/>
        <w:b/>
        <w:sz w:val="16"/>
        <w:szCs w:val="16"/>
      </w:rPr>
      <w:t>Direzione Generale delle Politiche Sociali</w:t>
    </w:r>
  </w:p>
  <w:p w14:paraId="69338D4D" w14:textId="77777777" w:rsidR="002F77B7" w:rsidRDefault="002F77B7">
    <w:pPr>
      <w:pStyle w:val="Intestazione"/>
    </w:pPr>
    <w:r>
      <w:rPr>
        <w:rFonts w:ascii="Arial" w:hAnsi="Arial" w:cs="Arial"/>
        <w:b/>
        <w:sz w:val="16"/>
        <w:szCs w:val="16"/>
      </w:rPr>
      <w:t>Servizio Politiche per la famiglia e l’inclusione sociale</w:t>
    </w:r>
  </w:p>
  <w:p w14:paraId="79C0C4BF" w14:textId="77777777" w:rsidR="002F77B7" w:rsidRDefault="002F77B7">
    <w:pPr>
      <w:pStyle w:val="Intestazione"/>
      <w:jc w:val="center"/>
      <w:rPr>
        <w:rFonts w:ascii="Arial" w:hAnsi="Arial" w:cs="Arial"/>
      </w:rPr>
    </w:pPr>
  </w:p>
  <w:p w14:paraId="7348C44D" w14:textId="77777777" w:rsidR="002F77B7" w:rsidRDefault="002F77B7">
    <w:pPr>
      <w:pStyle w:val="Intestazion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0157"/>
    <w:multiLevelType w:val="multilevel"/>
    <w:tmpl w:val="098E0048"/>
    <w:styleLink w:val="WWNum20"/>
    <w:lvl w:ilvl="0">
      <w:numFmt w:val="bullet"/>
      <w:lvlText w:val="-"/>
      <w:lvlJc w:val="left"/>
      <w:rPr>
        <w:rFonts w:ascii="Times New Roman" w:eastAsia="Times New Roman" w:hAnsi="Times New Roman" w:cs="Arial"/>
      </w:rPr>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1" w15:restartNumberingAfterBreak="0">
    <w:nsid w:val="0A726206"/>
    <w:multiLevelType w:val="multilevel"/>
    <w:tmpl w:val="78BC45C8"/>
    <w:styleLink w:val="WWNum38"/>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2" w15:restartNumberingAfterBreak="0">
    <w:nsid w:val="0BE91F32"/>
    <w:multiLevelType w:val="multilevel"/>
    <w:tmpl w:val="FC143956"/>
    <w:styleLink w:val="WWNum30"/>
    <w:lvl w:ilvl="0">
      <w:start w:val="1"/>
      <w:numFmt w:val="upperLetter"/>
      <w:lvlText w:val="%1."/>
      <w:lvlJc w:val="left"/>
    </w:lvl>
    <w:lvl w:ilvl="1">
      <w:numFmt w:val="bullet"/>
      <w:lvlText w:val="-"/>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0CF83B3D"/>
    <w:multiLevelType w:val="multilevel"/>
    <w:tmpl w:val="ACC0C706"/>
    <w:styleLink w:val="WWNum21"/>
    <w:lvl w:ilvl="0">
      <w:start w:val="1"/>
      <w:numFmt w:val="upp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F893372"/>
    <w:multiLevelType w:val="multilevel"/>
    <w:tmpl w:val="C986C2F4"/>
    <w:styleLink w:val="WWNum14"/>
    <w:lvl w:ilvl="0">
      <w:start w:val="1"/>
      <w:numFmt w:val="upperLetter"/>
      <w:lvlText w:val="%1."/>
      <w:lvlJc w:val="left"/>
    </w:lvl>
    <w:lvl w:ilvl="1">
      <w:numFmt w:val="bullet"/>
      <w:lvlText w:val="-"/>
      <w:lvlJc w:val="left"/>
      <w:rPr>
        <w:rFonts w:ascii="Times New Roman" w:eastAsia="Times New Roman" w:hAnsi="Times New Roman" w:cs="Aria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11D71FC8"/>
    <w:multiLevelType w:val="multilevel"/>
    <w:tmpl w:val="D3A85480"/>
    <w:styleLink w:val="WWNum33"/>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6" w15:restartNumberingAfterBreak="0">
    <w:nsid w:val="12492807"/>
    <w:multiLevelType w:val="multilevel"/>
    <w:tmpl w:val="9B62AC0E"/>
    <w:styleLink w:val="WWNum3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1967438D"/>
    <w:multiLevelType w:val="multilevel"/>
    <w:tmpl w:val="90185FA0"/>
    <w:styleLink w:val="WWNum2"/>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21D93C59"/>
    <w:multiLevelType w:val="multilevel"/>
    <w:tmpl w:val="A704D888"/>
    <w:styleLink w:val="WWNum7"/>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 w15:restartNumberingAfterBreak="0">
    <w:nsid w:val="22FC5627"/>
    <w:multiLevelType w:val="multilevel"/>
    <w:tmpl w:val="BBCCF830"/>
    <w:styleLink w:val="WWNum34"/>
    <w:lvl w:ilvl="0">
      <w:numFmt w:val="bullet"/>
      <w:lvlText w:val="-"/>
      <w:lvlJc w:val="left"/>
      <w:rPr>
        <w:rFonts w:ascii="Trebuchet MS" w:hAnsi="Trebuchet M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C7F30AD"/>
    <w:multiLevelType w:val="multilevel"/>
    <w:tmpl w:val="1102B652"/>
    <w:styleLink w:val="WWNum26"/>
    <w:lvl w:ilvl="0">
      <w:numFmt w:val="bullet"/>
      <w:lvlText w:val="-"/>
      <w:lvlJc w:val="left"/>
      <w:rPr>
        <w:rFonts w:ascii="Times New Roman" w:eastAsia="Times New Roman" w:hAnsi="Times New Roman" w:cs="Arial"/>
      </w:rPr>
    </w:lvl>
    <w:lvl w:ilvl="1">
      <w:numFmt w:val="bullet"/>
      <w:lvlText w:val=""/>
      <w:lvlJc w:val="left"/>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11" w15:restartNumberingAfterBreak="0">
    <w:nsid w:val="30707947"/>
    <w:multiLevelType w:val="multilevel"/>
    <w:tmpl w:val="CBB68202"/>
    <w:styleLink w:val="WWNum3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31A263C1"/>
    <w:multiLevelType w:val="multilevel"/>
    <w:tmpl w:val="3C20E780"/>
    <w:styleLink w:val="WWNum4"/>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13" w15:restartNumberingAfterBreak="0">
    <w:nsid w:val="33E9283B"/>
    <w:multiLevelType w:val="multilevel"/>
    <w:tmpl w:val="103AC47A"/>
    <w:styleLink w:val="WWNum11"/>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 w15:restartNumberingAfterBreak="0">
    <w:nsid w:val="363A083E"/>
    <w:multiLevelType w:val="multilevel"/>
    <w:tmpl w:val="E8AA8554"/>
    <w:styleLink w:val="WWNum19"/>
    <w:lvl w:ilvl="0">
      <w:numFmt w:val="bullet"/>
      <w:lvlText w:val="-"/>
      <w:lvlJc w:val="left"/>
      <w:rPr>
        <w:rFonts w:ascii="Times New Roman" w:eastAsia="Times New Roman" w:hAnsi="Times New Roman" w:cs="Arial"/>
      </w:rPr>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15" w15:restartNumberingAfterBreak="0">
    <w:nsid w:val="369540D4"/>
    <w:multiLevelType w:val="multilevel"/>
    <w:tmpl w:val="7DAEE1BC"/>
    <w:styleLink w:val="WWNum24"/>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16" w15:restartNumberingAfterBreak="0">
    <w:nsid w:val="3FC53AAF"/>
    <w:multiLevelType w:val="multilevel"/>
    <w:tmpl w:val="12DAA050"/>
    <w:styleLink w:val="WWNum5"/>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17" w15:restartNumberingAfterBreak="0">
    <w:nsid w:val="41B3387D"/>
    <w:multiLevelType w:val="multilevel"/>
    <w:tmpl w:val="AE28AB0E"/>
    <w:styleLink w:val="WWNum8"/>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18" w15:restartNumberingAfterBreak="0">
    <w:nsid w:val="465329EA"/>
    <w:multiLevelType w:val="multilevel"/>
    <w:tmpl w:val="84309E48"/>
    <w:styleLink w:val="WWNum3"/>
    <w:lvl w:ilvl="0">
      <w:start w:val="1"/>
      <w:numFmt w:val="lowerLetter"/>
      <w:lvlText w:val="%1)"/>
      <w:lvlJc w:val="left"/>
    </w:lvl>
    <w:lvl w:ilvl="1">
      <w:numFmt w:val="bullet"/>
      <w:lvlText w:val=""/>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465D16E5"/>
    <w:multiLevelType w:val="multilevel"/>
    <w:tmpl w:val="EADCBC10"/>
    <w:styleLink w:val="WWNum13"/>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20" w15:restartNumberingAfterBreak="0">
    <w:nsid w:val="49C5571A"/>
    <w:multiLevelType w:val="multilevel"/>
    <w:tmpl w:val="941A2B14"/>
    <w:styleLink w:val="WWNum10"/>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21" w15:restartNumberingAfterBreak="0">
    <w:nsid w:val="4C730C39"/>
    <w:multiLevelType w:val="multilevel"/>
    <w:tmpl w:val="1CAEAD04"/>
    <w:styleLink w:val="WWNum29"/>
    <w:lvl w:ilvl="0">
      <w:numFmt w:val="bullet"/>
      <w:lvlText w:val="-"/>
      <w:lvlJc w:val="left"/>
      <w:rPr>
        <w:rFonts w:ascii="Times New Roman" w:eastAsia="Times New Roman" w:hAnsi="Times New Roman" w:cs="Arial"/>
      </w:rPr>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22" w15:restartNumberingAfterBreak="0">
    <w:nsid w:val="4F4014E9"/>
    <w:multiLevelType w:val="multilevel"/>
    <w:tmpl w:val="ABF0C94E"/>
    <w:styleLink w:val="WWNum12"/>
    <w:lvl w:ilvl="0">
      <w:numFmt w:val="bullet"/>
      <w:lvlText w:val=""/>
      <w:lvlJc w:val="left"/>
      <w:rPr>
        <w:sz w:val="24"/>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3" w15:restartNumberingAfterBreak="0">
    <w:nsid w:val="53785D06"/>
    <w:multiLevelType w:val="multilevel"/>
    <w:tmpl w:val="DD14E2C6"/>
    <w:styleLink w:val="WWNum16"/>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24" w15:restartNumberingAfterBreak="0">
    <w:nsid w:val="55AE409B"/>
    <w:multiLevelType w:val="multilevel"/>
    <w:tmpl w:val="7D4AEE2C"/>
    <w:styleLink w:val="WWNum27"/>
    <w:lvl w:ilvl="0">
      <w:start w:val="1"/>
      <w:numFmt w:val="upperLetter"/>
      <w:lvlText w:val="%1."/>
      <w:lvlJc w:val="left"/>
    </w:lvl>
    <w:lvl w:ilvl="1">
      <w:numFmt w:val="bullet"/>
      <w:lvlText w:val="-"/>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584468DA"/>
    <w:multiLevelType w:val="multilevel"/>
    <w:tmpl w:val="A476EE14"/>
    <w:styleLink w:val="WWNum25"/>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26" w15:restartNumberingAfterBreak="0">
    <w:nsid w:val="584E67B1"/>
    <w:multiLevelType w:val="multilevel"/>
    <w:tmpl w:val="6FC8EB80"/>
    <w:styleLink w:val="WWNum15"/>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27" w15:restartNumberingAfterBreak="0">
    <w:nsid w:val="6275779E"/>
    <w:multiLevelType w:val="multilevel"/>
    <w:tmpl w:val="68FC1508"/>
    <w:styleLink w:val="WWNum36"/>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28" w15:restartNumberingAfterBreak="0">
    <w:nsid w:val="62D67D39"/>
    <w:multiLevelType w:val="multilevel"/>
    <w:tmpl w:val="75F492E4"/>
    <w:styleLink w:val="WWNum23"/>
    <w:lvl w:ilvl="0">
      <w:start w:val="1"/>
      <w:numFmt w:val="upperLetter"/>
      <w:lvlText w:val="%1."/>
      <w:lvlJc w:val="left"/>
    </w:lvl>
    <w:lvl w:ilvl="1">
      <w:numFmt w:val="bullet"/>
      <w:lvlText w:val="-"/>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678C2467"/>
    <w:multiLevelType w:val="multilevel"/>
    <w:tmpl w:val="582031F0"/>
    <w:styleLink w:val="WWNum22"/>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30" w15:restartNumberingAfterBreak="0">
    <w:nsid w:val="6B322CF9"/>
    <w:multiLevelType w:val="multilevel"/>
    <w:tmpl w:val="FEB05884"/>
    <w:styleLink w:val="WWNum9"/>
    <w:lvl w:ilvl="0">
      <w:start w:val="1"/>
      <w:numFmt w:val="decimal"/>
      <w:lvlText w:val="%1."/>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31" w15:restartNumberingAfterBreak="0">
    <w:nsid w:val="6DC14505"/>
    <w:multiLevelType w:val="multilevel"/>
    <w:tmpl w:val="462211E6"/>
    <w:styleLink w:val="WWNum28"/>
    <w:lvl w:ilvl="0">
      <w:start w:val="1"/>
      <w:numFmt w:val="upp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6F364275"/>
    <w:multiLevelType w:val="multilevel"/>
    <w:tmpl w:val="944EDDA4"/>
    <w:styleLink w:val="WWNum37"/>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33" w15:restartNumberingAfterBreak="0">
    <w:nsid w:val="77BD4CD4"/>
    <w:multiLevelType w:val="multilevel"/>
    <w:tmpl w:val="2D9E6B16"/>
    <w:styleLink w:val="WWNum17"/>
    <w:lvl w:ilvl="0">
      <w:numFmt w:val="bullet"/>
      <w:lvlText w:val="-"/>
      <w:lvlJc w:val="left"/>
      <w:rPr>
        <w:rFonts w:ascii="Times New Roman" w:eastAsia="Times New Roman" w:hAnsi="Times New Roman" w:cs="Arial"/>
      </w:rPr>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34" w15:restartNumberingAfterBreak="0">
    <w:nsid w:val="785A6EE1"/>
    <w:multiLevelType w:val="multilevel"/>
    <w:tmpl w:val="ED3CADF0"/>
    <w:styleLink w:val="WWNum18"/>
    <w:lvl w:ilvl="0">
      <w:numFmt w:val="bullet"/>
      <w:lvlText w:val="-"/>
      <w:lvlJc w:val="left"/>
      <w:rPr>
        <w:rFonts w:ascii="Times New Roman" w:eastAsia="Times New Roman" w:hAnsi="Times New Roman" w:cs="Arial"/>
      </w:rPr>
    </w:lvl>
    <w:lvl w:ilvl="1">
      <w:numFmt w:val="bullet"/>
      <w:lvlText w:val=""/>
      <w:lvlJc w:val="left"/>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35" w15:restartNumberingAfterBreak="0">
    <w:nsid w:val="79C378C3"/>
    <w:multiLevelType w:val="hybridMultilevel"/>
    <w:tmpl w:val="13C49B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B9E37E4"/>
    <w:multiLevelType w:val="multilevel"/>
    <w:tmpl w:val="A3C420F2"/>
    <w:styleLink w:val="WWNum1"/>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37" w15:restartNumberingAfterBreak="0">
    <w:nsid w:val="7C437CF3"/>
    <w:multiLevelType w:val="multilevel"/>
    <w:tmpl w:val="A61E3AE2"/>
    <w:styleLink w:val="WWNum6"/>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8" w15:restartNumberingAfterBreak="0">
    <w:nsid w:val="7DBF4F27"/>
    <w:multiLevelType w:val="multilevel"/>
    <w:tmpl w:val="7E32E424"/>
    <w:styleLink w:val="WWNum31"/>
    <w:lvl w:ilvl="0">
      <w:start w:val="1"/>
      <w:numFmt w:val="upperLetter"/>
      <w:lvlText w:val="%1."/>
      <w:lvlJc w:val="left"/>
    </w:lvl>
    <w:lvl w:ilvl="1">
      <w:numFmt w:val="bullet"/>
      <w:lvlText w:val="-"/>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830366530">
    <w:abstractNumId w:val="36"/>
  </w:num>
  <w:num w:numId="2" w16cid:durableId="1959219210">
    <w:abstractNumId w:val="7"/>
  </w:num>
  <w:num w:numId="3" w16cid:durableId="1785881891">
    <w:abstractNumId w:val="18"/>
  </w:num>
  <w:num w:numId="4" w16cid:durableId="1668558221">
    <w:abstractNumId w:val="12"/>
  </w:num>
  <w:num w:numId="5" w16cid:durableId="1439594593">
    <w:abstractNumId w:val="16"/>
  </w:num>
  <w:num w:numId="6" w16cid:durableId="663358738">
    <w:abstractNumId w:val="37"/>
  </w:num>
  <w:num w:numId="7" w16cid:durableId="1150904291">
    <w:abstractNumId w:val="8"/>
  </w:num>
  <w:num w:numId="8" w16cid:durableId="1979189344">
    <w:abstractNumId w:val="17"/>
  </w:num>
  <w:num w:numId="9" w16cid:durableId="746196624">
    <w:abstractNumId w:val="30"/>
  </w:num>
  <w:num w:numId="10" w16cid:durableId="278463058">
    <w:abstractNumId w:val="20"/>
  </w:num>
  <w:num w:numId="11" w16cid:durableId="437336286">
    <w:abstractNumId w:val="13"/>
  </w:num>
  <w:num w:numId="12" w16cid:durableId="695155623">
    <w:abstractNumId w:val="22"/>
  </w:num>
  <w:num w:numId="13" w16cid:durableId="497497374">
    <w:abstractNumId w:val="19"/>
  </w:num>
  <w:num w:numId="14" w16cid:durableId="1431316584">
    <w:abstractNumId w:val="4"/>
  </w:num>
  <w:num w:numId="15" w16cid:durableId="484587438">
    <w:abstractNumId w:val="26"/>
  </w:num>
  <w:num w:numId="16" w16cid:durableId="676276349">
    <w:abstractNumId w:val="23"/>
  </w:num>
  <w:num w:numId="17" w16cid:durableId="1233351106">
    <w:abstractNumId w:val="33"/>
  </w:num>
  <w:num w:numId="18" w16cid:durableId="569582705">
    <w:abstractNumId w:val="34"/>
  </w:num>
  <w:num w:numId="19" w16cid:durableId="1120339724">
    <w:abstractNumId w:val="14"/>
  </w:num>
  <w:num w:numId="20" w16cid:durableId="424962345">
    <w:abstractNumId w:val="0"/>
  </w:num>
  <w:num w:numId="21" w16cid:durableId="1605110700">
    <w:abstractNumId w:val="3"/>
  </w:num>
  <w:num w:numId="22" w16cid:durableId="682246891">
    <w:abstractNumId w:val="29"/>
  </w:num>
  <w:num w:numId="23" w16cid:durableId="1640648226">
    <w:abstractNumId w:val="28"/>
  </w:num>
  <w:num w:numId="24" w16cid:durableId="1087072224">
    <w:abstractNumId w:val="15"/>
  </w:num>
  <w:num w:numId="25" w16cid:durableId="17854645">
    <w:abstractNumId w:val="25"/>
  </w:num>
  <w:num w:numId="26" w16cid:durableId="68768928">
    <w:abstractNumId w:val="10"/>
  </w:num>
  <w:num w:numId="27" w16cid:durableId="1651859047">
    <w:abstractNumId w:val="24"/>
  </w:num>
  <w:num w:numId="28" w16cid:durableId="266471389">
    <w:abstractNumId w:val="31"/>
  </w:num>
  <w:num w:numId="29" w16cid:durableId="185951021">
    <w:abstractNumId w:val="21"/>
  </w:num>
  <w:num w:numId="30" w16cid:durableId="1905095904">
    <w:abstractNumId w:val="2"/>
  </w:num>
  <w:num w:numId="31" w16cid:durableId="1812284551">
    <w:abstractNumId w:val="38"/>
  </w:num>
  <w:num w:numId="32" w16cid:durableId="1971784214">
    <w:abstractNumId w:val="11"/>
  </w:num>
  <w:num w:numId="33" w16cid:durableId="571350688">
    <w:abstractNumId w:val="5"/>
  </w:num>
  <w:num w:numId="34" w16cid:durableId="2013683798">
    <w:abstractNumId w:val="9"/>
  </w:num>
  <w:num w:numId="35" w16cid:durableId="125897593">
    <w:abstractNumId w:val="6"/>
  </w:num>
  <w:num w:numId="36" w16cid:durableId="641352490">
    <w:abstractNumId w:val="27"/>
  </w:num>
  <w:num w:numId="37" w16cid:durableId="975531262">
    <w:abstractNumId w:val="32"/>
  </w:num>
  <w:num w:numId="38" w16cid:durableId="807553501">
    <w:abstractNumId w:val="1"/>
  </w:num>
  <w:num w:numId="39" w16cid:durableId="140988199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E24"/>
    <w:rsid w:val="00052138"/>
    <w:rsid w:val="001350D9"/>
    <w:rsid w:val="00254F5E"/>
    <w:rsid w:val="002A27C1"/>
    <w:rsid w:val="002F77B7"/>
    <w:rsid w:val="00351E24"/>
    <w:rsid w:val="005061DD"/>
    <w:rsid w:val="00557879"/>
    <w:rsid w:val="00695DFE"/>
    <w:rsid w:val="006B2957"/>
    <w:rsid w:val="009C3B8B"/>
    <w:rsid w:val="00BC61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DC94"/>
  <w15:docId w15:val="{70D56FE4-1D51-4A17-85C8-13B5F0D4B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Arial" w:hAnsi="Georgia" w:cs="Times New Roman"/>
        <w:kern w:val="3"/>
        <w:lang w:val="it-IT" w:eastAsia="it-I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next w:val="Textbody"/>
    <w:uiPriority w:val="9"/>
    <w:qFormat/>
    <w:pPr>
      <w:keepNext/>
      <w:keepLines/>
      <w:spacing w:before="480"/>
      <w:outlineLvl w:val="0"/>
    </w:pPr>
    <w:rPr>
      <w:rFonts w:ascii="Calibri Light" w:hAnsi="Calibri Light" w:cs="F"/>
      <w:b/>
      <w:bCs/>
      <w:color w:val="2E74B5"/>
      <w:sz w:val="28"/>
      <w:szCs w:val="28"/>
    </w:rPr>
  </w:style>
  <w:style w:type="paragraph" w:styleId="Titolo2">
    <w:name w:val="heading 2"/>
    <w:basedOn w:val="Standard"/>
    <w:next w:val="Textbody"/>
    <w:uiPriority w:val="9"/>
    <w:semiHidden/>
    <w:unhideWhenUsed/>
    <w:qFormat/>
    <w:pPr>
      <w:keepNext/>
      <w:jc w:val="both"/>
      <w:outlineLvl w:val="1"/>
    </w:pPr>
    <w:rPr>
      <w:b/>
      <w:sz w:val="24"/>
    </w:rPr>
  </w:style>
  <w:style w:type="paragraph" w:styleId="Titolo3">
    <w:name w:val="heading 3"/>
    <w:basedOn w:val="Standard"/>
    <w:next w:val="Textbody"/>
    <w:uiPriority w:val="9"/>
    <w:semiHidden/>
    <w:unhideWhenUsed/>
    <w:qFormat/>
    <w:pPr>
      <w:keepNext/>
      <w:keepLines/>
      <w:spacing w:before="200"/>
      <w:outlineLvl w:val="2"/>
    </w:pPr>
    <w:rPr>
      <w:rFonts w:ascii="Calibri Light" w:hAnsi="Calibri Light" w:cs="F"/>
      <w:b/>
      <w:bCs/>
      <w:color w:val="5B9BD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rPr>
      <w:rFonts w:ascii="Times New Roman" w:eastAsia="Times New Roman" w:hAnsi="Times New Roman"/>
      <w:lang w:eastAsia="zh-CN"/>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customStyle="1" w:styleId="Corpo">
    <w:name w:val="Corpo"/>
    <w:pPr>
      <w:widowControl/>
      <w:suppressAutoHyphens/>
    </w:pPr>
    <w:rPr>
      <w:rFonts w:ascii="Times New Roman" w:eastAsia="Times New Roman" w:hAnsi="Times New Roman"/>
      <w:color w:val="000000"/>
    </w:rPr>
  </w:style>
  <w:style w:type="paragraph" w:styleId="Pidipagina">
    <w:name w:val="footer"/>
    <w:basedOn w:val="Standard"/>
    <w:pPr>
      <w:suppressLineNumbers/>
      <w:tabs>
        <w:tab w:val="center" w:pos="4819"/>
        <w:tab w:val="right" w:pos="9638"/>
      </w:tabs>
    </w:pPr>
  </w:style>
  <w:style w:type="paragraph" w:styleId="Intestazione">
    <w:name w:val="header"/>
    <w:basedOn w:val="Standard"/>
    <w:pPr>
      <w:suppressLineNumbers/>
      <w:tabs>
        <w:tab w:val="center" w:pos="4819"/>
        <w:tab w:val="right" w:pos="9638"/>
      </w:tabs>
    </w:pPr>
  </w:style>
  <w:style w:type="paragraph" w:styleId="Paragrafoelenco">
    <w:name w:val="List Paragraph"/>
    <w:basedOn w:val="Standard"/>
    <w:pPr>
      <w:ind w:left="720"/>
    </w:pPr>
  </w:style>
  <w:style w:type="paragraph" w:styleId="Testocommento">
    <w:name w:val="annotation text"/>
    <w:basedOn w:val="Standard"/>
  </w:style>
  <w:style w:type="paragraph" w:styleId="Soggettocommento">
    <w:name w:val="annotation subject"/>
    <w:basedOn w:val="Testocommento"/>
    <w:rPr>
      <w:b/>
      <w:bCs/>
    </w:rPr>
  </w:style>
  <w:style w:type="paragraph" w:styleId="Testofumetto">
    <w:name w:val="Balloon Text"/>
    <w:basedOn w:val="Standard"/>
    <w:rPr>
      <w:rFonts w:ascii="Segoe UI" w:hAnsi="Segoe UI" w:cs="Segoe UI"/>
      <w:sz w:val="18"/>
      <w:szCs w:val="18"/>
    </w:rPr>
  </w:style>
  <w:style w:type="paragraph" w:styleId="Testonotaapidipagina">
    <w:name w:val="footnote text"/>
    <w:basedOn w:val="Standard"/>
  </w:style>
  <w:style w:type="paragraph" w:customStyle="1" w:styleId="TableContents">
    <w:name w:val="Table Contents"/>
    <w:basedOn w:val="Standard"/>
    <w:pPr>
      <w:suppressLineNumbers/>
    </w:pPr>
    <w:rPr>
      <w:sz w:val="24"/>
      <w:szCs w:val="24"/>
      <w:lang w:eastAsia="ar-SA"/>
    </w:rPr>
  </w:style>
  <w:style w:type="paragraph" w:styleId="NormaleWeb">
    <w:name w:val="Normal (Web)"/>
    <w:basedOn w:val="Standard"/>
    <w:pPr>
      <w:spacing w:before="100" w:after="119"/>
    </w:pPr>
    <w:rPr>
      <w:rFonts w:ascii="Calibri" w:hAnsi="Calibri" w:cs="Calibri"/>
      <w:sz w:val="24"/>
      <w:szCs w:val="24"/>
    </w:rPr>
  </w:style>
  <w:style w:type="paragraph" w:styleId="Revisione">
    <w:name w:val="Revision"/>
    <w:pPr>
      <w:widowControl/>
      <w:suppressAutoHyphens/>
    </w:pPr>
    <w:rPr>
      <w:rFonts w:ascii="Times New Roman" w:eastAsia="Times New Roman" w:hAnsi="Times New Roman"/>
    </w:rPr>
  </w:style>
  <w:style w:type="paragraph" w:customStyle="1" w:styleId="c5">
    <w:name w:val="c5"/>
    <w:basedOn w:val="Standard"/>
    <w:pPr>
      <w:jc w:val="center"/>
    </w:pPr>
    <w:rPr>
      <w:sz w:val="24"/>
      <w:szCs w:val="24"/>
      <w:lang w:val="en-US" w:eastAsia="ar-SA"/>
    </w:rPr>
  </w:style>
  <w:style w:type="paragraph" w:styleId="Corpodeltesto2">
    <w:name w:val="Body Text 2"/>
    <w:basedOn w:val="Standard"/>
    <w:pPr>
      <w:jc w:val="both"/>
    </w:pPr>
    <w:rPr>
      <w:sz w:val="24"/>
    </w:rPr>
  </w:style>
  <w:style w:type="paragraph" w:customStyle="1" w:styleId="DGServp1">
    <w:name w:val="DG_Serv p1"/>
    <w:basedOn w:val="Standard"/>
    <w:pPr>
      <w:spacing w:after="60" w:line="200" w:lineRule="exact"/>
    </w:pPr>
    <w:rPr>
      <w:rFonts w:ascii="Futura Std Book" w:hAnsi="Futura Std Book" w:cs="Futura Std Book"/>
      <w:sz w:val="18"/>
      <w:szCs w:val="18"/>
    </w:rPr>
  </w:style>
  <w:style w:type="paragraph" w:customStyle="1" w:styleId="Contents1">
    <w:name w:val="Contents 1"/>
    <w:basedOn w:val="Standard"/>
    <w:pPr>
      <w:tabs>
        <w:tab w:val="left" w:pos="-5387"/>
        <w:tab w:val="left" w:pos="-3828"/>
        <w:tab w:val="right" w:leader="dot" w:pos="8494"/>
      </w:tabs>
      <w:spacing w:after="120" w:line="300" w:lineRule="exact"/>
      <w:jc w:val="center"/>
    </w:pPr>
    <w:rPr>
      <w:rFonts w:ascii="Arial" w:hAnsi="Arial"/>
      <w:b/>
      <w:sz w:val="22"/>
      <w:szCs w:val="24"/>
    </w:rPr>
  </w:style>
  <w:style w:type="paragraph" w:customStyle="1" w:styleId="Default">
    <w:name w:val="Default"/>
    <w:pPr>
      <w:widowControl/>
      <w:suppressAutoHyphens/>
    </w:pPr>
    <w:rPr>
      <w:rFonts w:ascii="Arial" w:eastAsia="Times New Roman" w:hAnsi="Arial" w:cs="Arial"/>
      <w:color w:val="000000"/>
      <w:sz w:val="24"/>
      <w:szCs w:val="24"/>
      <w:lang w:eastAsia="ar-SA"/>
    </w:rPr>
  </w:style>
  <w:style w:type="paragraph" w:customStyle="1" w:styleId="Estremideliber">
    <w:name w:val="Estremi deliber"/>
    <w:basedOn w:val="Standard"/>
    <w:pPr>
      <w:spacing w:after="60" w:line="200" w:lineRule="exact"/>
    </w:pPr>
    <w:rPr>
      <w:rFonts w:ascii="Futura Std Book" w:hAnsi="Futura Std Book" w:cs="Futura Std Book"/>
      <w:caps/>
      <w:sz w:val="12"/>
      <w:szCs w:val="12"/>
    </w:rPr>
  </w:style>
  <w:style w:type="paragraph" w:styleId="Nessunaspaziatura">
    <w:name w:val="No Spacing"/>
    <w:pPr>
      <w:widowControl/>
      <w:suppressAutoHyphens/>
    </w:pPr>
    <w:rPr>
      <w:rFonts w:ascii="Calibri" w:hAnsi="Calibri" w:cs="F"/>
      <w:sz w:val="22"/>
      <w:szCs w:val="22"/>
    </w:rPr>
  </w:style>
  <w:style w:type="paragraph" w:styleId="Titolo">
    <w:name w:val="Title"/>
    <w:basedOn w:val="Standard"/>
    <w:next w:val="Sottotitolo"/>
    <w:uiPriority w:val="10"/>
    <w:qFormat/>
    <w:pPr>
      <w:jc w:val="center"/>
    </w:pPr>
    <w:rPr>
      <w:b/>
      <w:bCs/>
      <w:sz w:val="24"/>
      <w:szCs w:val="36"/>
    </w:rPr>
  </w:style>
  <w:style w:type="paragraph" w:styleId="Sottotitolo">
    <w:name w:val="Subtitle"/>
    <w:basedOn w:val="Heading"/>
    <w:next w:val="Textbody"/>
    <w:uiPriority w:val="11"/>
    <w:qFormat/>
    <w:pPr>
      <w:jc w:val="center"/>
    </w:pPr>
    <w:rPr>
      <w:i/>
      <w:iCs/>
    </w:rPr>
  </w:style>
  <w:style w:type="paragraph" w:customStyle="1" w:styleId="TableHeading">
    <w:name w:val="Table Heading"/>
    <w:basedOn w:val="TableContents"/>
    <w:pPr>
      <w:jc w:val="center"/>
    </w:pPr>
    <w:rPr>
      <w:b/>
      <w:bCs/>
    </w:rPr>
  </w:style>
  <w:style w:type="character" w:customStyle="1" w:styleId="Titolo2Carattere">
    <w:name w:val="Titolo 2 Carattere"/>
    <w:rPr>
      <w:rFonts w:ascii="Times New Roman" w:eastAsia="Times New Roman" w:hAnsi="Times New Roman" w:cs="Times New Roman"/>
      <w:b/>
      <w:sz w:val="24"/>
      <w:szCs w:val="20"/>
      <w:lang w:val="it-IT" w:eastAsia="it-IT"/>
    </w:rPr>
  </w:style>
  <w:style w:type="character" w:customStyle="1" w:styleId="PidipaginaCarattere">
    <w:name w:val="Piè di pagina Carattere"/>
    <w:rPr>
      <w:rFonts w:ascii="Times New Roman" w:eastAsia="Times New Roman" w:hAnsi="Times New Roman" w:cs="Times New Roman"/>
      <w:szCs w:val="20"/>
      <w:lang w:val="it-IT" w:eastAsia="it-IT"/>
    </w:rPr>
  </w:style>
  <w:style w:type="character" w:customStyle="1" w:styleId="IntestazioneCarattere">
    <w:name w:val="Intestazione Carattere"/>
    <w:rPr>
      <w:rFonts w:ascii="Times New Roman" w:eastAsia="Times New Roman" w:hAnsi="Times New Roman" w:cs="Times New Roman"/>
      <w:szCs w:val="20"/>
      <w:lang w:val="it-IT" w:eastAsia="it-IT"/>
    </w:rPr>
  </w:style>
  <w:style w:type="character" w:styleId="Rimandocommento">
    <w:name w:val="annotation reference"/>
    <w:rPr>
      <w:sz w:val="16"/>
      <w:szCs w:val="16"/>
    </w:rPr>
  </w:style>
  <w:style w:type="character" w:customStyle="1" w:styleId="TestocommentoCarattere">
    <w:name w:val="Testo commento Carattere"/>
    <w:rPr>
      <w:rFonts w:ascii="Times New Roman" w:eastAsia="Times New Roman" w:hAnsi="Times New Roman" w:cs="Times New Roman"/>
      <w:szCs w:val="20"/>
      <w:lang w:val="it-IT" w:eastAsia="it-IT"/>
    </w:rPr>
  </w:style>
  <w:style w:type="character" w:customStyle="1" w:styleId="SoggettocommentoCarattere">
    <w:name w:val="Soggetto commento Carattere"/>
    <w:rPr>
      <w:rFonts w:ascii="Times New Roman" w:eastAsia="Times New Roman" w:hAnsi="Times New Roman" w:cs="Times New Roman"/>
      <w:b/>
      <w:bCs/>
      <w:szCs w:val="20"/>
      <w:lang w:val="it-IT" w:eastAsia="it-IT"/>
    </w:rPr>
  </w:style>
  <w:style w:type="character" w:customStyle="1" w:styleId="TestofumettoCarattere">
    <w:name w:val="Testo fumetto Carattere"/>
    <w:rPr>
      <w:rFonts w:ascii="Segoe UI" w:eastAsia="Times New Roman" w:hAnsi="Segoe UI" w:cs="Segoe UI"/>
      <w:sz w:val="18"/>
      <w:szCs w:val="18"/>
      <w:lang w:val="it-IT" w:eastAsia="it-IT"/>
    </w:rPr>
  </w:style>
  <w:style w:type="character" w:customStyle="1" w:styleId="TestonotaapidipaginaCarattere">
    <w:name w:val="Testo nota a piè di pagina Carattere"/>
    <w:rPr>
      <w:rFonts w:ascii="Times New Roman" w:eastAsia="Times New Roman" w:hAnsi="Times New Roman" w:cs="Times New Roman"/>
      <w:szCs w:val="20"/>
      <w:lang w:val="it-IT" w:eastAsia="it-IT"/>
    </w:rPr>
  </w:style>
  <w:style w:type="character" w:styleId="Rimandonotaapidipagina">
    <w:name w:val="footnote reference"/>
    <w:rPr>
      <w:position w:val="0"/>
      <w:vertAlign w:val="superscript"/>
    </w:rPr>
  </w:style>
  <w:style w:type="character" w:customStyle="1" w:styleId="Corpodeltesto2Carattere">
    <w:name w:val="Corpo del testo 2 Carattere"/>
    <w:rPr>
      <w:rFonts w:ascii="Times New Roman" w:eastAsia="Times New Roman" w:hAnsi="Times New Roman" w:cs="Times New Roman"/>
      <w:sz w:val="24"/>
      <w:szCs w:val="20"/>
      <w:lang w:val="it-IT" w:eastAsia="it-IT"/>
    </w:rPr>
  </w:style>
  <w:style w:type="character" w:customStyle="1" w:styleId="HeaderChar1">
    <w:name w:val="Header Char1"/>
    <w:rPr>
      <w:rFonts w:cs="Times New Roman"/>
      <w:sz w:val="24"/>
      <w:szCs w:val="24"/>
    </w:rPr>
  </w:style>
  <w:style w:type="character" w:customStyle="1" w:styleId="Titolo3Carattere">
    <w:name w:val="Titolo 3 Carattere"/>
    <w:basedOn w:val="Carpredefinitoparagrafo"/>
    <w:rPr>
      <w:rFonts w:ascii="Calibri Light" w:hAnsi="Calibri Light" w:cs="F"/>
      <w:b/>
      <w:bCs/>
      <w:color w:val="5B9BD5"/>
    </w:rPr>
  </w:style>
  <w:style w:type="character" w:customStyle="1" w:styleId="Titolo1Carattere">
    <w:name w:val="Titolo 1 Carattere"/>
    <w:basedOn w:val="Carpredefinitoparagrafo"/>
    <w:rPr>
      <w:rFonts w:ascii="Calibri Light" w:hAnsi="Calibri Light" w:cs="F"/>
      <w:b/>
      <w:bCs/>
      <w:color w:val="2E74B5"/>
      <w:sz w:val="28"/>
      <w:szCs w:val="28"/>
    </w:rPr>
  </w:style>
  <w:style w:type="character" w:customStyle="1" w:styleId="TitoloCarattere">
    <w:name w:val="Titolo Carattere"/>
    <w:basedOn w:val="Carpredefinitoparagrafo"/>
    <w:rPr>
      <w:rFonts w:ascii="Times New Roman" w:eastAsia="Times New Roman" w:hAnsi="Times New Roman"/>
      <w:b/>
      <w:sz w:val="24"/>
    </w:rPr>
  </w:style>
  <w:style w:type="character" w:customStyle="1" w:styleId="ParagrafoelencoCarattere">
    <w:name w:val="Paragrafo elenco Carattere"/>
    <w:rPr>
      <w:rFonts w:ascii="Times New Roman" w:eastAsia="Times New Roman" w:hAnsi="Times New Roman"/>
    </w:rPr>
  </w:style>
  <w:style w:type="character" w:customStyle="1" w:styleId="ListLabel1">
    <w:name w:val="ListLabel 1"/>
    <w:rPr>
      <w:rFonts w:cs="Courier New"/>
    </w:rPr>
  </w:style>
  <w:style w:type="character" w:customStyle="1" w:styleId="ListLabel2">
    <w:name w:val="ListLabel 2"/>
    <w:rPr>
      <w:sz w:val="24"/>
    </w:rPr>
  </w:style>
  <w:style w:type="character" w:customStyle="1" w:styleId="ListLabel3">
    <w:name w:val="ListLabel 3"/>
    <w:rPr>
      <w:rFonts w:eastAsia="Times New Roman" w:cs="Arial"/>
    </w:rPr>
  </w:style>
  <w:style w:type="paragraph" w:styleId="Corpotesto">
    <w:name w:val="Body Text"/>
    <w:basedOn w:val="Normale"/>
    <w:pPr>
      <w:spacing w:after="120"/>
    </w:pPr>
  </w:style>
  <w:style w:type="character" w:customStyle="1" w:styleId="CorpotestoCarattere">
    <w:name w:val="Corpo testo Carattere"/>
    <w:basedOn w:val="Carpredefinitoparagrafo"/>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 w:type="numbering" w:customStyle="1" w:styleId="WWNum22">
    <w:name w:val="WWNum22"/>
    <w:basedOn w:val="Nessunelenco"/>
    <w:pPr>
      <w:numPr>
        <w:numId w:val="22"/>
      </w:numPr>
    </w:pPr>
  </w:style>
  <w:style w:type="numbering" w:customStyle="1" w:styleId="WWNum23">
    <w:name w:val="WWNum23"/>
    <w:basedOn w:val="Nessunelenco"/>
    <w:pPr>
      <w:numPr>
        <w:numId w:val="23"/>
      </w:numPr>
    </w:pPr>
  </w:style>
  <w:style w:type="numbering" w:customStyle="1" w:styleId="WWNum24">
    <w:name w:val="WWNum24"/>
    <w:basedOn w:val="Nessunelenco"/>
    <w:pPr>
      <w:numPr>
        <w:numId w:val="24"/>
      </w:numPr>
    </w:pPr>
  </w:style>
  <w:style w:type="numbering" w:customStyle="1" w:styleId="WWNum25">
    <w:name w:val="WWNum25"/>
    <w:basedOn w:val="Nessunelenco"/>
    <w:pPr>
      <w:numPr>
        <w:numId w:val="25"/>
      </w:numPr>
    </w:pPr>
  </w:style>
  <w:style w:type="numbering" w:customStyle="1" w:styleId="WWNum26">
    <w:name w:val="WWNum26"/>
    <w:basedOn w:val="Nessunelenco"/>
    <w:pPr>
      <w:numPr>
        <w:numId w:val="26"/>
      </w:numPr>
    </w:pPr>
  </w:style>
  <w:style w:type="numbering" w:customStyle="1" w:styleId="WWNum27">
    <w:name w:val="WWNum27"/>
    <w:basedOn w:val="Nessunelenco"/>
    <w:pPr>
      <w:numPr>
        <w:numId w:val="27"/>
      </w:numPr>
    </w:pPr>
  </w:style>
  <w:style w:type="numbering" w:customStyle="1" w:styleId="WWNum28">
    <w:name w:val="WWNum28"/>
    <w:basedOn w:val="Nessunelenco"/>
    <w:pPr>
      <w:numPr>
        <w:numId w:val="28"/>
      </w:numPr>
    </w:pPr>
  </w:style>
  <w:style w:type="numbering" w:customStyle="1" w:styleId="WWNum29">
    <w:name w:val="WWNum29"/>
    <w:basedOn w:val="Nessunelenco"/>
    <w:pPr>
      <w:numPr>
        <w:numId w:val="29"/>
      </w:numPr>
    </w:pPr>
  </w:style>
  <w:style w:type="numbering" w:customStyle="1" w:styleId="WWNum30">
    <w:name w:val="WWNum30"/>
    <w:basedOn w:val="Nessunelenco"/>
    <w:pPr>
      <w:numPr>
        <w:numId w:val="30"/>
      </w:numPr>
    </w:pPr>
  </w:style>
  <w:style w:type="numbering" w:customStyle="1" w:styleId="WWNum31">
    <w:name w:val="WWNum31"/>
    <w:basedOn w:val="Nessunelenco"/>
    <w:pPr>
      <w:numPr>
        <w:numId w:val="31"/>
      </w:numPr>
    </w:pPr>
  </w:style>
  <w:style w:type="numbering" w:customStyle="1" w:styleId="WWNum32">
    <w:name w:val="WWNum32"/>
    <w:basedOn w:val="Nessunelenco"/>
    <w:pPr>
      <w:numPr>
        <w:numId w:val="32"/>
      </w:numPr>
    </w:pPr>
  </w:style>
  <w:style w:type="numbering" w:customStyle="1" w:styleId="WWNum33">
    <w:name w:val="WWNum33"/>
    <w:basedOn w:val="Nessunelenco"/>
    <w:pPr>
      <w:numPr>
        <w:numId w:val="33"/>
      </w:numPr>
    </w:pPr>
  </w:style>
  <w:style w:type="numbering" w:customStyle="1" w:styleId="WWNum34">
    <w:name w:val="WWNum34"/>
    <w:basedOn w:val="Nessunelenco"/>
    <w:pPr>
      <w:numPr>
        <w:numId w:val="34"/>
      </w:numPr>
    </w:pPr>
  </w:style>
  <w:style w:type="numbering" w:customStyle="1" w:styleId="WWNum35">
    <w:name w:val="WWNum35"/>
    <w:basedOn w:val="Nessunelenco"/>
    <w:pPr>
      <w:numPr>
        <w:numId w:val="35"/>
      </w:numPr>
    </w:pPr>
  </w:style>
  <w:style w:type="numbering" w:customStyle="1" w:styleId="WWNum36">
    <w:name w:val="WWNum36"/>
    <w:basedOn w:val="Nessunelenco"/>
    <w:pPr>
      <w:numPr>
        <w:numId w:val="36"/>
      </w:numPr>
    </w:pPr>
  </w:style>
  <w:style w:type="numbering" w:customStyle="1" w:styleId="WWNum37">
    <w:name w:val="WWNum37"/>
    <w:basedOn w:val="Nessunelenco"/>
    <w:pPr>
      <w:numPr>
        <w:numId w:val="37"/>
      </w:numPr>
    </w:pPr>
  </w:style>
  <w:style w:type="numbering" w:customStyle="1" w:styleId="WWNum38">
    <w:name w:val="WWNum38"/>
    <w:basedOn w:val="Nessunelenco"/>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584</Words>
  <Characters>3329</Characters>
  <Application>Microsoft Office Word</Application>
  <DocSecurity>0</DocSecurity>
  <Lines>27</Lines>
  <Paragraphs>7</Paragraphs>
  <ScaleCrop>false</ScaleCrop>
  <Company>Regione Autonoma della Sardegna</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Amico</dc:creator>
  <cp:lastModifiedBy>Antonella Amico</cp:lastModifiedBy>
  <cp:revision>6</cp:revision>
  <cp:lastPrinted>2019-03-14T15:18:00Z</cp:lastPrinted>
  <dcterms:created xsi:type="dcterms:W3CDTF">2026-09-08T16:04:00Z</dcterms:created>
  <dcterms:modified xsi:type="dcterms:W3CDTF">2026-09-09T09:34:00Z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PricewaterhouseCoopers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